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47" w:rsidRDefault="00CA0647" w:rsidP="00D544A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CA0647" w:rsidRDefault="00CA0647" w:rsidP="00CA064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Marijuana Legalization</w:t>
      </w:r>
      <w:r>
        <w:rPr>
          <w:rFonts w:ascii="Times New Roman" w:hAnsi="Times New Roman" w:cs="Times New Roman"/>
          <w:b/>
          <w:noProof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24"/>
        </w:rPr>
        <w:br/>
      </w:r>
      <w:r w:rsidR="002B572D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26ECBC89" wp14:editId="63098B37">
            <wp:simplePos x="0" y="0"/>
            <wp:positionH relativeFrom="margin">
              <wp:posOffset>-510540</wp:posOffset>
            </wp:positionH>
            <wp:positionV relativeFrom="margin">
              <wp:posOffset>-734060</wp:posOffset>
            </wp:positionV>
            <wp:extent cx="1901952" cy="126187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E4B">
        <w:rPr>
          <w:rFonts w:ascii="Times New Roman" w:hAnsi="Times New Roman" w:cs="Times New Roman"/>
          <w:b/>
          <w:sz w:val="36"/>
          <w:szCs w:val="24"/>
        </w:rPr>
        <w:t xml:space="preserve">Public Health </w:t>
      </w:r>
      <w:r w:rsidR="00266D49">
        <w:rPr>
          <w:rFonts w:ascii="Times New Roman" w:hAnsi="Times New Roman" w:cs="Times New Roman"/>
          <w:b/>
          <w:sz w:val="36"/>
          <w:szCs w:val="24"/>
        </w:rPr>
        <w:t>Considerations</w:t>
      </w:r>
      <w:r w:rsidR="00E05E4B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&amp; Municipal Options</w:t>
      </w:r>
      <w:r w:rsidR="00266D49">
        <w:rPr>
          <w:rFonts w:ascii="Times New Roman" w:hAnsi="Times New Roman" w:cs="Times New Roman"/>
          <w:b/>
          <w:sz w:val="36"/>
          <w:szCs w:val="24"/>
        </w:rPr>
        <w:br/>
      </w:r>
    </w:p>
    <w:p w:rsidR="00D25366" w:rsidRPr="00CA0647" w:rsidRDefault="00CA0647" w:rsidP="00CA0647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brief provides the </w:t>
      </w:r>
      <w:r w:rsidR="004B5F2A" w:rsidRPr="004B5F2A">
        <w:rPr>
          <w:rFonts w:ascii="Times New Roman" w:hAnsi="Times New Roman" w:cs="Times New Roman"/>
          <w:sz w:val="24"/>
          <w:szCs w:val="24"/>
        </w:rPr>
        <w:t xml:space="preserve">potential public health impact of </w:t>
      </w:r>
      <w:r w:rsidR="004B5F2A">
        <w:rPr>
          <w:rFonts w:ascii="Times New Roman" w:hAnsi="Times New Roman" w:cs="Times New Roman"/>
          <w:sz w:val="24"/>
          <w:szCs w:val="24"/>
        </w:rPr>
        <w:t>increased access to marijuana based on experiences of states that</w:t>
      </w:r>
      <w:r w:rsidR="00266D4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legalized,</w:t>
      </w:r>
      <w:proofErr w:type="gramEnd"/>
      <w:r w:rsidR="00266D49">
        <w:rPr>
          <w:rFonts w:ascii="Times New Roman" w:hAnsi="Times New Roman" w:cs="Times New Roman"/>
          <w:sz w:val="24"/>
          <w:szCs w:val="24"/>
        </w:rPr>
        <w:t xml:space="preserve"> </w:t>
      </w:r>
      <w:r w:rsidR="00E13479">
        <w:rPr>
          <w:rFonts w:ascii="Times New Roman" w:hAnsi="Times New Roman" w:cs="Times New Roman"/>
          <w:sz w:val="24"/>
          <w:szCs w:val="24"/>
        </w:rPr>
        <w:t>public health research</w:t>
      </w:r>
      <w:r w:rsidR="00266D49">
        <w:rPr>
          <w:rFonts w:ascii="Times New Roman" w:hAnsi="Times New Roman" w:cs="Times New Roman"/>
          <w:sz w:val="24"/>
          <w:szCs w:val="24"/>
        </w:rPr>
        <w:t>,</w:t>
      </w:r>
      <w:r w:rsidR="00E13479">
        <w:rPr>
          <w:rFonts w:ascii="Times New Roman" w:hAnsi="Times New Roman" w:cs="Times New Roman"/>
          <w:sz w:val="24"/>
          <w:szCs w:val="24"/>
        </w:rPr>
        <w:t xml:space="preserve"> and </w:t>
      </w:r>
      <w:r w:rsidR="00266D49">
        <w:rPr>
          <w:rFonts w:ascii="Times New Roman" w:hAnsi="Times New Roman" w:cs="Times New Roman"/>
          <w:sz w:val="24"/>
          <w:szCs w:val="24"/>
        </w:rPr>
        <w:t xml:space="preserve">best practice </w:t>
      </w:r>
      <w:r w:rsidR="00E13479">
        <w:rPr>
          <w:rFonts w:ascii="Times New Roman" w:hAnsi="Times New Roman" w:cs="Times New Roman"/>
          <w:sz w:val="24"/>
          <w:szCs w:val="24"/>
        </w:rPr>
        <w:t>recommendations</w:t>
      </w:r>
      <w:r w:rsidR="004B5F2A">
        <w:rPr>
          <w:rFonts w:ascii="Times New Roman" w:hAnsi="Times New Roman" w:cs="Times New Roman"/>
          <w:sz w:val="24"/>
          <w:szCs w:val="24"/>
        </w:rPr>
        <w:t xml:space="preserve">. Included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E13479">
        <w:rPr>
          <w:rFonts w:ascii="Times New Roman" w:hAnsi="Times New Roman" w:cs="Times New Roman"/>
          <w:sz w:val="24"/>
          <w:szCs w:val="24"/>
        </w:rPr>
        <w:t xml:space="preserve"> </w:t>
      </w:r>
      <w:r w:rsidR="00266D49">
        <w:rPr>
          <w:rFonts w:ascii="Times New Roman" w:hAnsi="Times New Roman" w:cs="Times New Roman"/>
          <w:sz w:val="24"/>
          <w:szCs w:val="24"/>
        </w:rPr>
        <w:t xml:space="preserve">public health concerns, </w:t>
      </w:r>
      <w:r w:rsidR="004B5F2A">
        <w:rPr>
          <w:rFonts w:ascii="Times New Roman" w:hAnsi="Times New Roman" w:cs="Times New Roman"/>
          <w:sz w:val="24"/>
          <w:szCs w:val="24"/>
        </w:rPr>
        <w:t>best practice</w:t>
      </w:r>
      <w:r w:rsidR="00E13479">
        <w:rPr>
          <w:rFonts w:ascii="Times New Roman" w:hAnsi="Times New Roman" w:cs="Times New Roman"/>
          <w:sz w:val="24"/>
          <w:szCs w:val="24"/>
        </w:rPr>
        <w:t>s</w:t>
      </w:r>
      <w:r w:rsidR="004B5F2A">
        <w:rPr>
          <w:rFonts w:ascii="Times New Roman" w:hAnsi="Times New Roman" w:cs="Times New Roman"/>
          <w:sz w:val="24"/>
          <w:szCs w:val="24"/>
        </w:rPr>
        <w:t xml:space="preserve"> </w:t>
      </w:r>
      <w:r w:rsidR="00266D49">
        <w:rPr>
          <w:rFonts w:ascii="Times New Roman" w:hAnsi="Times New Roman" w:cs="Times New Roman"/>
          <w:sz w:val="24"/>
          <w:szCs w:val="24"/>
        </w:rPr>
        <w:t>from</w:t>
      </w:r>
      <w:r w:rsidR="004B5F2A">
        <w:rPr>
          <w:rFonts w:ascii="Times New Roman" w:hAnsi="Times New Roman" w:cs="Times New Roman"/>
          <w:sz w:val="24"/>
          <w:szCs w:val="24"/>
        </w:rPr>
        <w:t xml:space="preserve"> tobacco and alcohol</w:t>
      </w:r>
      <w:r w:rsidR="00E13479">
        <w:rPr>
          <w:rFonts w:ascii="Times New Roman" w:hAnsi="Times New Roman" w:cs="Times New Roman"/>
          <w:sz w:val="24"/>
          <w:szCs w:val="24"/>
        </w:rPr>
        <w:t xml:space="preserve"> regulation</w:t>
      </w:r>
      <w:r w:rsidR="00266D49">
        <w:rPr>
          <w:rFonts w:ascii="Times New Roman" w:hAnsi="Times New Roman" w:cs="Times New Roman"/>
          <w:sz w:val="24"/>
          <w:szCs w:val="24"/>
        </w:rPr>
        <w:t xml:space="preserve"> research,</w:t>
      </w:r>
      <w:r w:rsidR="004B5F2A">
        <w:rPr>
          <w:rFonts w:ascii="Times New Roman" w:hAnsi="Times New Roman" w:cs="Times New Roman"/>
          <w:sz w:val="24"/>
          <w:szCs w:val="24"/>
        </w:rPr>
        <w:t xml:space="preserve"> and potential strategies local municipalities could adopt to </w:t>
      </w:r>
      <w:r w:rsidR="00266D49">
        <w:rPr>
          <w:rFonts w:ascii="Times New Roman" w:hAnsi="Times New Roman" w:cs="Times New Roman"/>
          <w:sz w:val="24"/>
          <w:szCs w:val="24"/>
        </w:rPr>
        <w:t>ensure best practices are being implemented locally.</w:t>
      </w:r>
      <w:r w:rsidR="009A4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4F" w:rsidRDefault="00D25366" w:rsidP="004B5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 experts have identified five main public health concerns </w:t>
      </w:r>
      <w:r w:rsidR="00CA0647">
        <w:rPr>
          <w:rFonts w:ascii="Times New Roman" w:hAnsi="Times New Roman" w:cs="Times New Roman"/>
          <w:sz w:val="24"/>
          <w:szCs w:val="24"/>
        </w:rPr>
        <w:t xml:space="preserve">of legalized marijuana </w:t>
      </w:r>
      <w:r>
        <w:rPr>
          <w:rFonts w:ascii="Times New Roman" w:hAnsi="Times New Roman" w:cs="Times New Roman"/>
          <w:sz w:val="24"/>
          <w:szCs w:val="24"/>
        </w:rPr>
        <w:t>that could be addressed through regulation</w:t>
      </w:r>
      <w:r w:rsidR="006F2A4F">
        <w:rPr>
          <w:rFonts w:ascii="Times New Roman" w:hAnsi="Times New Roman" w:cs="Times New Roman"/>
          <w:sz w:val="24"/>
          <w:szCs w:val="24"/>
        </w:rPr>
        <w:t>:</w:t>
      </w:r>
    </w:p>
    <w:p w:rsidR="006F2A4F" w:rsidRDefault="006F2A4F" w:rsidP="006F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A4C0A" w:rsidRPr="006F2A4F">
        <w:rPr>
          <w:rFonts w:ascii="Times New Roman" w:hAnsi="Times New Roman" w:cs="Times New Roman"/>
          <w:sz w:val="24"/>
          <w:szCs w:val="24"/>
        </w:rPr>
        <w:t>outh access and increased use</w:t>
      </w:r>
    </w:p>
    <w:p w:rsidR="006F2A4F" w:rsidRDefault="006F2A4F" w:rsidP="006F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Impaired driving</w:t>
      </w:r>
    </w:p>
    <w:p w:rsidR="006F2A4F" w:rsidRDefault="006F2A4F" w:rsidP="006F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Dependence and addiction</w:t>
      </w:r>
    </w:p>
    <w:p w:rsidR="006F2A4F" w:rsidRDefault="006F2A4F" w:rsidP="006F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Unwanted contaminants</w:t>
      </w:r>
    </w:p>
    <w:p w:rsidR="006F2A4F" w:rsidRDefault="006F2A4F" w:rsidP="006F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4C0A" w:rsidRPr="006F2A4F">
        <w:rPr>
          <w:rFonts w:ascii="Times New Roman" w:hAnsi="Times New Roman" w:cs="Times New Roman"/>
          <w:sz w:val="24"/>
          <w:szCs w:val="24"/>
        </w:rPr>
        <w:t xml:space="preserve">oncurrent use of marijuana and alcohol. </w:t>
      </w:r>
    </w:p>
    <w:p w:rsidR="00E05E4B" w:rsidRPr="006F2A4F" w:rsidRDefault="009A4C0A" w:rsidP="006F2A4F">
      <w:pPr>
        <w:rPr>
          <w:rFonts w:ascii="Times New Roman" w:hAnsi="Times New Roman" w:cs="Times New Roman"/>
          <w:sz w:val="24"/>
          <w:szCs w:val="24"/>
        </w:rPr>
      </w:pPr>
      <w:r w:rsidRPr="006F2A4F">
        <w:rPr>
          <w:rFonts w:ascii="Times New Roman" w:hAnsi="Times New Roman" w:cs="Times New Roman"/>
          <w:sz w:val="24"/>
          <w:szCs w:val="24"/>
        </w:rPr>
        <w:t xml:space="preserve">All these concerns, and potential regulation options, are summarized </w:t>
      </w:r>
      <w:r w:rsidR="00DE7F97">
        <w:rPr>
          <w:rFonts w:ascii="Times New Roman" w:hAnsi="Times New Roman" w:cs="Times New Roman"/>
          <w:sz w:val="24"/>
          <w:szCs w:val="24"/>
        </w:rPr>
        <w:t>on</w:t>
      </w:r>
      <w:r w:rsidRPr="006F2A4F">
        <w:rPr>
          <w:rFonts w:ascii="Times New Roman" w:hAnsi="Times New Roman" w:cs="Times New Roman"/>
          <w:sz w:val="24"/>
          <w:szCs w:val="24"/>
        </w:rPr>
        <w:t xml:space="preserve"> pages </w:t>
      </w:r>
      <w:r w:rsidR="00D25366">
        <w:rPr>
          <w:rFonts w:ascii="Times New Roman" w:hAnsi="Times New Roman" w:cs="Times New Roman"/>
          <w:sz w:val="24"/>
          <w:szCs w:val="24"/>
        </w:rPr>
        <w:t>3</w:t>
      </w:r>
      <w:r w:rsidRPr="006F2A4F">
        <w:rPr>
          <w:rFonts w:ascii="Times New Roman" w:hAnsi="Times New Roman" w:cs="Times New Roman"/>
          <w:sz w:val="24"/>
          <w:szCs w:val="24"/>
        </w:rPr>
        <w:t>-</w:t>
      </w:r>
      <w:r w:rsidR="008E0939">
        <w:rPr>
          <w:rFonts w:ascii="Times New Roman" w:hAnsi="Times New Roman" w:cs="Times New Roman"/>
          <w:sz w:val="24"/>
          <w:szCs w:val="24"/>
        </w:rPr>
        <w:t>6</w:t>
      </w:r>
      <w:r w:rsidRPr="006F2A4F">
        <w:rPr>
          <w:rFonts w:ascii="Times New Roman" w:hAnsi="Times New Roman" w:cs="Times New Roman"/>
          <w:sz w:val="24"/>
          <w:szCs w:val="24"/>
        </w:rPr>
        <w:t>. We have highlighted and provided more information on youth access and use</w:t>
      </w:r>
      <w:r w:rsidR="00BE6715" w:rsidRPr="006F2A4F">
        <w:rPr>
          <w:rFonts w:ascii="Times New Roman" w:hAnsi="Times New Roman" w:cs="Times New Roman"/>
          <w:sz w:val="24"/>
          <w:szCs w:val="24"/>
        </w:rPr>
        <w:t xml:space="preserve"> below</w:t>
      </w:r>
      <w:r w:rsidRPr="006F2A4F">
        <w:rPr>
          <w:rFonts w:ascii="Times New Roman" w:hAnsi="Times New Roman" w:cs="Times New Roman"/>
          <w:sz w:val="24"/>
          <w:szCs w:val="24"/>
        </w:rPr>
        <w:t>, which is our primary public health concern.</w:t>
      </w:r>
    </w:p>
    <w:p w:rsidR="00CA0647" w:rsidRDefault="00CA0647" w:rsidP="004B5F2A">
      <w:pPr>
        <w:rPr>
          <w:rFonts w:ascii="Times New Roman" w:hAnsi="Times New Roman" w:cs="Times New Roman"/>
          <w:b/>
          <w:sz w:val="28"/>
          <w:szCs w:val="36"/>
        </w:rPr>
      </w:pPr>
    </w:p>
    <w:p w:rsidR="004B5F2A" w:rsidRPr="00E13479" w:rsidRDefault="00BE6715" w:rsidP="004B5F2A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Youth Access &amp;</w:t>
      </w:r>
      <w:r w:rsidR="00CA0647">
        <w:rPr>
          <w:rFonts w:ascii="Times New Roman" w:hAnsi="Times New Roman" w:cs="Times New Roman"/>
          <w:b/>
          <w:sz w:val="28"/>
          <w:szCs w:val="36"/>
        </w:rPr>
        <w:t xml:space="preserve"> Increased</w:t>
      </w:r>
      <w:r>
        <w:rPr>
          <w:rFonts w:ascii="Times New Roman" w:hAnsi="Times New Roman" w:cs="Times New Roman"/>
          <w:b/>
          <w:sz w:val="28"/>
          <w:szCs w:val="36"/>
        </w:rPr>
        <w:t xml:space="preserve"> Use</w:t>
      </w:r>
    </w:p>
    <w:p w:rsidR="0084774D" w:rsidRDefault="0084774D" w:rsidP="00847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Marijuana Use Rates: Brunswick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790"/>
        <w:gridCol w:w="2808"/>
      </w:tblGrid>
      <w:tr w:rsidR="0084774D" w:rsidRPr="00D25366" w:rsidTr="007A79BC">
        <w:trPr>
          <w:trHeight w:val="386"/>
        </w:trPr>
        <w:tc>
          <w:tcPr>
            <w:tcW w:w="3978" w:type="dxa"/>
          </w:tcPr>
          <w:p w:rsidR="0084774D" w:rsidRPr="00D25366" w:rsidRDefault="0084774D" w:rsidP="007A79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b/>
                <w:sz w:val="24"/>
                <w:szCs w:val="24"/>
              </w:rPr>
              <w:t>Brunswick High School</w:t>
            </w:r>
          </w:p>
        </w:tc>
        <w:tc>
          <w:tcPr>
            <w:tcW w:w="2808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253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D2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8</w:t>
            </w:r>
            <w:r w:rsidRPr="00D253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D2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D" w:rsidTr="007A79BC">
        <w:tc>
          <w:tcPr>
            <w:tcW w:w="3978" w:type="dxa"/>
          </w:tcPr>
          <w:p w:rsidR="0084774D" w:rsidRPr="00D25366" w:rsidRDefault="0084774D" w:rsidP="007A7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Ever tried marijuana</w:t>
            </w:r>
          </w:p>
        </w:tc>
        <w:tc>
          <w:tcPr>
            <w:tcW w:w="2790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29.2%</w:t>
            </w:r>
          </w:p>
        </w:tc>
        <w:tc>
          <w:tcPr>
            <w:tcW w:w="2808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</w:tr>
      <w:tr w:rsidR="0084774D" w:rsidTr="007A79BC">
        <w:tc>
          <w:tcPr>
            <w:tcW w:w="3978" w:type="dxa"/>
          </w:tcPr>
          <w:p w:rsidR="0084774D" w:rsidRPr="00D25366" w:rsidRDefault="0084774D" w:rsidP="007A7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marijuana </w:t>
            </w: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in past 30 days</w:t>
            </w:r>
          </w:p>
        </w:tc>
        <w:tc>
          <w:tcPr>
            <w:tcW w:w="2790" w:type="dxa"/>
          </w:tcPr>
          <w:p w:rsidR="0084774D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14.7%</w:t>
            </w:r>
          </w:p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(lower than state average)</w:t>
            </w:r>
          </w:p>
        </w:tc>
        <w:tc>
          <w:tcPr>
            <w:tcW w:w="2808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4774D" w:rsidTr="007A79BC">
        <w:tc>
          <w:tcPr>
            <w:tcW w:w="3978" w:type="dxa"/>
          </w:tcPr>
          <w:p w:rsidR="0084774D" w:rsidRPr="00D25366" w:rsidRDefault="0084774D" w:rsidP="007A7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Report Marijuana is “easy to get”</w:t>
            </w:r>
          </w:p>
        </w:tc>
        <w:tc>
          <w:tcPr>
            <w:tcW w:w="2790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50.8%</w:t>
            </w:r>
          </w:p>
        </w:tc>
        <w:tc>
          <w:tcPr>
            <w:tcW w:w="2808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13.7%</w:t>
            </w:r>
          </w:p>
        </w:tc>
      </w:tr>
      <w:tr w:rsidR="0084774D" w:rsidTr="007A79BC">
        <w:tc>
          <w:tcPr>
            <w:tcW w:w="3978" w:type="dxa"/>
          </w:tcPr>
          <w:p w:rsidR="0084774D" w:rsidRPr="00D25366" w:rsidRDefault="0084774D" w:rsidP="007A7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 xml:space="preserve">Feel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 xml:space="preserve">marijuana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is “not risky”</w:t>
            </w:r>
          </w:p>
        </w:tc>
        <w:tc>
          <w:tcPr>
            <w:tcW w:w="2790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55.6%</w:t>
            </w:r>
          </w:p>
        </w:tc>
        <w:tc>
          <w:tcPr>
            <w:tcW w:w="2808" w:type="dxa"/>
          </w:tcPr>
          <w:p w:rsidR="0084774D" w:rsidRPr="00D25366" w:rsidRDefault="0084774D" w:rsidP="007A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6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84774D" w:rsidRPr="0084774D" w:rsidRDefault="0084774D" w:rsidP="0084774D">
      <w:pPr>
        <w:jc w:val="right"/>
        <w:rPr>
          <w:rFonts w:ascii="Times New Roman" w:hAnsi="Times New Roman" w:cs="Times New Roman"/>
          <w:i/>
          <w:szCs w:val="24"/>
        </w:rPr>
      </w:pPr>
      <w:r w:rsidRPr="0084774D">
        <w:rPr>
          <w:rFonts w:ascii="Times New Roman" w:hAnsi="Times New Roman" w:cs="Times New Roman"/>
          <w:i/>
          <w:szCs w:val="24"/>
        </w:rPr>
        <w:t>Maine Integrated Youth Health Survey</w:t>
      </w:r>
      <w:r>
        <w:rPr>
          <w:rFonts w:ascii="Times New Roman" w:hAnsi="Times New Roman" w:cs="Times New Roman"/>
          <w:i/>
          <w:szCs w:val="24"/>
        </w:rPr>
        <w:t>, 2015</w:t>
      </w:r>
      <w:r w:rsidRPr="0084774D">
        <w:rPr>
          <w:rFonts w:ascii="Times New Roman" w:hAnsi="Times New Roman" w:cs="Times New Roman"/>
          <w:i/>
          <w:szCs w:val="24"/>
        </w:rPr>
        <w:t>. Unless indicated, all rates are at state average.</w:t>
      </w:r>
    </w:p>
    <w:p w:rsidR="00CA0647" w:rsidRDefault="00CA0647" w:rsidP="00BE6715">
      <w:pPr>
        <w:rPr>
          <w:rFonts w:ascii="Times New Roman" w:hAnsi="Times New Roman" w:cs="Times New Roman"/>
          <w:sz w:val="24"/>
          <w:szCs w:val="24"/>
        </w:rPr>
      </w:pPr>
    </w:p>
    <w:p w:rsidR="00232CB2" w:rsidRPr="00BE6715" w:rsidRDefault="006F2A4F" w:rsidP="00BE6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Research has identified several youth beliefs that </w:t>
      </w:r>
      <w:r w:rsidR="009479CB">
        <w:rPr>
          <w:rFonts w:ascii="Times New Roman" w:hAnsi="Times New Roman" w:cs="Times New Roman"/>
          <w:sz w:val="24"/>
          <w:szCs w:val="24"/>
        </w:rPr>
        <w:t xml:space="preserve">influence </w:t>
      </w:r>
      <w:r>
        <w:rPr>
          <w:rFonts w:ascii="Times New Roman" w:hAnsi="Times New Roman" w:cs="Times New Roman"/>
          <w:sz w:val="24"/>
          <w:szCs w:val="24"/>
        </w:rPr>
        <w:t xml:space="preserve">use of alcohol, tobacco and marijuana. </w:t>
      </w:r>
      <w:r w:rsidR="00CA0647">
        <w:rPr>
          <w:rFonts w:ascii="Times New Roman" w:hAnsi="Times New Roman" w:cs="Times New Roman"/>
          <w:sz w:val="24"/>
          <w:szCs w:val="24"/>
        </w:rPr>
        <w:t xml:space="preserve">Access and belief of harm are strong predictors of youth use. </w:t>
      </w:r>
      <w:r>
        <w:rPr>
          <w:rFonts w:ascii="Times New Roman" w:hAnsi="Times New Roman" w:cs="Times New Roman"/>
          <w:sz w:val="24"/>
          <w:szCs w:val="24"/>
        </w:rPr>
        <w:t xml:space="preserve">Youth who report substances are easy to get or believe that use is not risky are more likely to also report using </w:t>
      </w:r>
      <w:r w:rsidR="009479CB">
        <w:rPr>
          <w:rFonts w:ascii="Times New Roman" w:hAnsi="Times New Roman" w:cs="Times New Roman"/>
          <w:sz w:val="24"/>
          <w:szCs w:val="24"/>
        </w:rPr>
        <w:t>that substance in the past 30 days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. Legalizing marijuana </w:t>
      </w:r>
      <w:r w:rsidR="00CA0647">
        <w:rPr>
          <w:rFonts w:ascii="Times New Roman" w:hAnsi="Times New Roman" w:cs="Times New Roman"/>
          <w:sz w:val="24"/>
          <w:szCs w:val="24"/>
        </w:rPr>
        <w:t>may result in an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 increase</w:t>
      </w:r>
      <w:r w:rsidR="00CA0647">
        <w:rPr>
          <w:rFonts w:ascii="Times New Roman" w:hAnsi="Times New Roman" w:cs="Times New Roman"/>
          <w:sz w:val="24"/>
          <w:szCs w:val="24"/>
        </w:rPr>
        <w:t xml:space="preserve"> in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 youth ac</w:t>
      </w:r>
      <w:r w:rsidR="009479CB">
        <w:rPr>
          <w:rFonts w:ascii="Times New Roman" w:hAnsi="Times New Roman" w:cs="Times New Roman"/>
          <w:sz w:val="24"/>
          <w:szCs w:val="24"/>
        </w:rPr>
        <w:t xml:space="preserve">cess and </w:t>
      </w:r>
      <w:r w:rsidR="00CA0647">
        <w:rPr>
          <w:rFonts w:ascii="Times New Roman" w:hAnsi="Times New Roman" w:cs="Times New Roman"/>
          <w:sz w:val="24"/>
          <w:szCs w:val="24"/>
        </w:rPr>
        <w:t xml:space="preserve">a </w:t>
      </w:r>
      <w:r w:rsidR="009479CB">
        <w:rPr>
          <w:rFonts w:ascii="Times New Roman" w:hAnsi="Times New Roman" w:cs="Times New Roman"/>
          <w:sz w:val="24"/>
          <w:szCs w:val="24"/>
        </w:rPr>
        <w:t>decrease</w:t>
      </w:r>
      <w:r w:rsidR="00CA0647">
        <w:rPr>
          <w:rFonts w:ascii="Times New Roman" w:hAnsi="Times New Roman" w:cs="Times New Roman"/>
          <w:sz w:val="24"/>
          <w:szCs w:val="24"/>
        </w:rPr>
        <w:t xml:space="preserve"> in the</w:t>
      </w:r>
      <w:r w:rsidR="009479CB">
        <w:rPr>
          <w:rFonts w:ascii="Times New Roman" w:hAnsi="Times New Roman" w:cs="Times New Roman"/>
          <w:sz w:val="24"/>
          <w:szCs w:val="24"/>
        </w:rPr>
        <w:t xml:space="preserve"> belief of harm.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 </w:t>
      </w:r>
      <w:r w:rsidR="009479CB">
        <w:rPr>
          <w:rFonts w:ascii="Times New Roman" w:hAnsi="Times New Roman" w:cs="Times New Roman"/>
          <w:sz w:val="24"/>
          <w:szCs w:val="24"/>
        </w:rPr>
        <w:t>The following</w:t>
      </w:r>
      <w:r w:rsidR="00CA0647">
        <w:rPr>
          <w:rFonts w:ascii="Times New Roman" w:hAnsi="Times New Roman" w:cs="Times New Roman"/>
          <w:sz w:val="24"/>
          <w:szCs w:val="24"/>
        </w:rPr>
        <w:t xml:space="preserve"> regulatory</w:t>
      </w:r>
      <w:r w:rsidR="009479CB">
        <w:rPr>
          <w:rFonts w:ascii="Times New Roman" w:hAnsi="Times New Roman" w:cs="Times New Roman"/>
          <w:sz w:val="24"/>
          <w:szCs w:val="24"/>
        </w:rPr>
        <w:t xml:space="preserve"> strategies have been proven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 to</w:t>
      </w:r>
      <w:r w:rsidR="009479CB">
        <w:rPr>
          <w:rFonts w:ascii="Times New Roman" w:hAnsi="Times New Roman" w:cs="Times New Roman"/>
          <w:sz w:val="24"/>
          <w:szCs w:val="24"/>
        </w:rPr>
        <w:t xml:space="preserve"> successfully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 limit </w:t>
      </w:r>
      <w:r w:rsidR="00232CB2" w:rsidRPr="00BE6715">
        <w:rPr>
          <w:rFonts w:ascii="Times New Roman" w:hAnsi="Times New Roman" w:cs="Times New Roman"/>
          <w:sz w:val="24"/>
          <w:szCs w:val="24"/>
        </w:rPr>
        <w:t>youth access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 </w:t>
      </w:r>
      <w:r w:rsidR="00CA0647">
        <w:rPr>
          <w:rFonts w:ascii="Times New Roman" w:hAnsi="Times New Roman" w:cs="Times New Roman"/>
          <w:sz w:val="24"/>
          <w:szCs w:val="24"/>
        </w:rPr>
        <w:t>and</w:t>
      </w:r>
      <w:r w:rsidR="00AB73A4" w:rsidRPr="00BE6715">
        <w:rPr>
          <w:rFonts w:ascii="Times New Roman" w:hAnsi="Times New Roman" w:cs="Times New Roman"/>
          <w:sz w:val="24"/>
          <w:szCs w:val="24"/>
        </w:rPr>
        <w:t xml:space="preserve"> combat low belief of harm</w:t>
      </w:r>
      <w:r w:rsidR="009479CB">
        <w:rPr>
          <w:rFonts w:ascii="Times New Roman" w:hAnsi="Times New Roman" w:cs="Times New Roman"/>
          <w:sz w:val="24"/>
          <w:szCs w:val="24"/>
        </w:rPr>
        <w:t xml:space="preserve"> of tobacco and alcohol, and </w:t>
      </w:r>
      <w:r w:rsidR="00CA0647">
        <w:rPr>
          <w:rFonts w:ascii="Times New Roman" w:hAnsi="Times New Roman" w:cs="Times New Roman"/>
          <w:sz w:val="24"/>
          <w:szCs w:val="24"/>
        </w:rPr>
        <w:t>could</w:t>
      </w:r>
      <w:r w:rsidR="009479CB">
        <w:rPr>
          <w:rFonts w:ascii="Times New Roman" w:hAnsi="Times New Roman" w:cs="Times New Roman"/>
          <w:sz w:val="24"/>
          <w:szCs w:val="24"/>
        </w:rPr>
        <w:t xml:space="preserve"> be duplicated to </w:t>
      </w:r>
      <w:r w:rsidR="00CA0647">
        <w:rPr>
          <w:rFonts w:ascii="Times New Roman" w:hAnsi="Times New Roman" w:cs="Times New Roman"/>
          <w:sz w:val="24"/>
          <w:szCs w:val="24"/>
        </w:rPr>
        <w:t>limit</w:t>
      </w:r>
      <w:r w:rsidR="009479CB">
        <w:rPr>
          <w:rFonts w:ascii="Times New Roman" w:hAnsi="Times New Roman" w:cs="Times New Roman"/>
          <w:sz w:val="24"/>
          <w:szCs w:val="24"/>
        </w:rPr>
        <w:t xml:space="preserve"> youth access and use</w:t>
      </w:r>
      <w:r w:rsidR="00CA0647">
        <w:rPr>
          <w:rFonts w:ascii="Times New Roman" w:hAnsi="Times New Roman" w:cs="Times New Roman"/>
          <w:sz w:val="24"/>
          <w:szCs w:val="24"/>
        </w:rPr>
        <w:t xml:space="preserve"> of marijuana</w:t>
      </w:r>
      <w:r w:rsidR="009479CB">
        <w:rPr>
          <w:rFonts w:ascii="Times New Roman" w:hAnsi="Times New Roman" w:cs="Times New Roman"/>
          <w:sz w:val="24"/>
          <w:szCs w:val="24"/>
        </w:rPr>
        <w:t>:</w:t>
      </w:r>
    </w:p>
    <w:p w:rsidR="00232CB2" w:rsidRDefault="00232CB2" w:rsidP="00232CB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prices</w:t>
      </w:r>
      <w:r w:rsidR="00BE6715">
        <w:rPr>
          <w:rFonts w:ascii="Times New Roman" w:hAnsi="Times New Roman" w:cs="Times New Roman"/>
          <w:sz w:val="24"/>
          <w:szCs w:val="24"/>
        </w:rPr>
        <w:t xml:space="preserve"> - taxes, minimal prices, limiting promotions</w:t>
      </w:r>
      <w:r w:rsidR="00947173">
        <w:rPr>
          <w:rFonts w:ascii="Times New Roman" w:hAnsi="Times New Roman" w:cs="Times New Roman"/>
          <w:sz w:val="24"/>
          <w:szCs w:val="24"/>
        </w:rPr>
        <w:t>/sales</w:t>
      </w:r>
    </w:p>
    <w:p w:rsidR="00232CB2" w:rsidRDefault="00AB73A4" w:rsidP="00232CB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Licensing and monitoring of retailers </w:t>
      </w:r>
      <w:r w:rsidR="00BE6715">
        <w:rPr>
          <w:rFonts w:ascii="Times New Roman" w:hAnsi="Times New Roman" w:cs="Times New Roman"/>
          <w:sz w:val="24"/>
          <w:szCs w:val="24"/>
        </w:rPr>
        <w:t>– l</w:t>
      </w:r>
      <w:r w:rsidR="00947173">
        <w:rPr>
          <w:rFonts w:ascii="Times New Roman" w:hAnsi="Times New Roman" w:cs="Times New Roman"/>
          <w:sz w:val="24"/>
          <w:szCs w:val="24"/>
        </w:rPr>
        <w:t>imit</w:t>
      </w:r>
      <w:r w:rsidR="00BE6715">
        <w:rPr>
          <w:rFonts w:ascii="Times New Roman" w:hAnsi="Times New Roman" w:cs="Times New Roman"/>
          <w:sz w:val="24"/>
          <w:szCs w:val="24"/>
        </w:rPr>
        <w:t xml:space="preserve"> licenses</w:t>
      </w:r>
      <w:r w:rsidR="00947173">
        <w:rPr>
          <w:rFonts w:ascii="Times New Roman" w:hAnsi="Times New Roman" w:cs="Times New Roman"/>
          <w:sz w:val="24"/>
          <w:szCs w:val="24"/>
        </w:rPr>
        <w:t>/density of shops</w:t>
      </w:r>
      <w:r w:rsidR="00BE6715">
        <w:rPr>
          <w:rFonts w:ascii="Times New Roman" w:hAnsi="Times New Roman" w:cs="Times New Roman"/>
          <w:sz w:val="24"/>
          <w:szCs w:val="24"/>
        </w:rPr>
        <w:t xml:space="preserve">, required </w:t>
      </w:r>
      <w:r>
        <w:rPr>
          <w:rFonts w:ascii="Times New Roman" w:hAnsi="Times New Roman" w:cs="Times New Roman"/>
          <w:sz w:val="24"/>
          <w:szCs w:val="24"/>
        </w:rPr>
        <w:t xml:space="preserve">retail trainings &amp; </w:t>
      </w:r>
      <w:r w:rsidR="00BE6715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compliance checks</w:t>
      </w:r>
    </w:p>
    <w:p w:rsidR="00AB73A4" w:rsidRDefault="00AB73A4" w:rsidP="00232CB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Limiting marketing</w:t>
      </w:r>
      <w:r w:rsidR="00BE6715">
        <w:rPr>
          <w:rFonts w:ascii="Times New Roman" w:hAnsi="Times New Roman" w:cs="Times New Roman"/>
          <w:sz w:val="24"/>
          <w:szCs w:val="24"/>
        </w:rPr>
        <w:t xml:space="preserve"> – including outside and inside signs, and packaging/labels</w:t>
      </w:r>
    </w:p>
    <w:p w:rsidR="00AB73A4" w:rsidRDefault="00AB73A4" w:rsidP="00232CB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="00DE7F9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types of products sold – youth are attracted to marijuana edibles</w:t>
      </w:r>
      <w:r w:rsidR="00BE6715">
        <w:rPr>
          <w:rFonts w:ascii="Times New Roman" w:hAnsi="Times New Roman" w:cs="Times New Roman"/>
          <w:sz w:val="24"/>
          <w:szCs w:val="24"/>
        </w:rPr>
        <w:t>, such as edibles that resemble candy, baked goods, soda, etc.</w:t>
      </w:r>
    </w:p>
    <w:p w:rsidR="00AB73A4" w:rsidRDefault="00AB73A4" w:rsidP="00232CB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</w:t>
      </w:r>
      <w:r w:rsidR="00DE7F9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public consumption</w:t>
      </w:r>
      <w:r w:rsidR="00BE6715">
        <w:rPr>
          <w:rFonts w:ascii="Times New Roman" w:hAnsi="Times New Roman" w:cs="Times New Roman"/>
          <w:sz w:val="24"/>
          <w:szCs w:val="24"/>
        </w:rPr>
        <w:t xml:space="preserve"> – reduce norm</w:t>
      </w:r>
      <w:r w:rsidR="009E5B38">
        <w:rPr>
          <w:rFonts w:ascii="Times New Roman" w:hAnsi="Times New Roman" w:cs="Times New Roman"/>
          <w:sz w:val="24"/>
          <w:szCs w:val="24"/>
        </w:rPr>
        <w:t>aliz</w:t>
      </w:r>
      <w:r w:rsidR="00BE6715">
        <w:rPr>
          <w:rFonts w:ascii="Times New Roman" w:hAnsi="Times New Roman" w:cs="Times New Roman"/>
          <w:sz w:val="24"/>
          <w:szCs w:val="24"/>
        </w:rPr>
        <w:t>ing of behavior</w:t>
      </w:r>
    </w:p>
    <w:p w:rsidR="00AB73A4" w:rsidRDefault="00AB73A4" w:rsidP="00232CB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</w:t>
      </w:r>
      <w:r w:rsidR="00DE7F9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social access –</w:t>
      </w:r>
      <w:r w:rsidR="0094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 and enforced furnishing regulations</w:t>
      </w:r>
      <w:r w:rsidR="00BE6715">
        <w:rPr>
          <w:rFonts w:ascii="Times New Roman" w:hAnsi="Times New Roman" w:cs="Times New Roman"/>
          <w:sz w:val="24"/>
          <w:szCs w:val="24"/>
        </w:rPr>
        <w:t>, e.g. providing the substance or place to consume the substance</w:t>
      </w:r>
    </w:p>
    <w:p w:rsidR="008E0939" w:rsidRDefault="002B572D" w:rsidP="008E0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5CF">
        <w:rPr>
          <w:rFonts w:ascii="Times New Roman" w:hAnsi="Times New Roman" w:cs="Times New Roman"/>
          <w:i/>
          <w:sz w:val="28"/>
          <w:szCs w:val="24"/>
        </w:rPr>
        <w:br/>
      </w:r>
      <w:r w:rsidR="007B7F53" w:rsidRPr="002B5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E0939">
      <w:pPr>
        <w:jc w:val="center"/>
      </w:pPr>
      <w:r>
        <w:rPr>
          <w:rFonts w:ascii="Times New Roman" w:hAnsi="Times New Roman" w:cs="Times New Roman"/>
          <w:i/>
          <w:sz w:val="28"/>
          <w:szCs w:val="24"/>
        </w:rPr>
        <w:t>A</w:t>
      </w:r>
      <w:r w:rsidRPr="002B572D">
        <w:rPr>
          <w:rFonts w:ascii="Times New Roman" w:hAnsi="Times New Roman" w:cs="Times New Roman"/>
          <w:i/>
          <w:sz w:val="28"/>
          <w:szCs w:val="24"/>
        </w:rPr>
        <w:t xml:space="preserve">ccess Health is a community health coalition serving </w:t>
      </w:r>
      <w:r>
        <w:rPr>
          <w:rFonts w:ascii="Times New Roman" w:hAnsi="Times New Roman" w:cs="Times New Roman"/>
          <w:i/>
          <w:sz w:val="28"/>
          <w:szCs w:val="24"/>
        </w:rPr>
        <w:br/>
      </w:r>
      <w:r w:rsidRPr="002B572D">
        <w:rPr>
          <w:rFonts w:ascii="Times New Roman" w:hAnsi="Times New Roman" w:cs="Times New Roman"/>
          <w:i/>
          <w:sz w:val="28"/>
          <w:szCs w:val="24"/>
        </w:rPr>
        <w:t>Sagadahoc County, Brunswick</w:t>
      </w:r>
      <w:r>
        <w:rPr>
          <w:rFonts w:ascii="Times New Roman" w:hAnsi="Times New Roman" w:cs="Times New Roman"/>
          <w:i/>
          <w:sz w:val="28"/>
          <w:szCs w:val="24"/>
        </w:rPr>
        <w:t xml:space="preserve"> and Harpswell</w:t>
      </w:r>
      <w:r>
        <w:rPr>
          <w:rFonts w:ascii="Times New Roman" w:hAnsi="Times New Roman" w:cs="Times New Roman"/>
          <w:i/>
          <w:sz w:val="28"/>
          <w:szCs w:val="24"/>
        </w:rPr>
        <w:br/>
        <w:t>www.AccessHealthME.org</w:t>
      </w:r>
    </w:p>
    <w:p w:rsidR="00A24C6F" w:rsidRPr="002B572D" w:rsidRDefault="00A24C6F" w:rsidP="00CC35CF">
      <w:pPr>
        <w:rPr>
          <w:rFonts w:ascii="Times New Roman" w:hAnsi="Times New Roman" w:cs="Times New Roman"/>
          <w:sz w:val="24"/>
          <w:szCs w:val="24"/>
        </w:rPr>
        <w:sectPr w:rsidR="00A24C6F" w:rsidRPr="002B572D" w:rsidSect="00CA0647"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0" w:footer="144" w:gutter="0"/>
          <w:cols w:space="720"/>
          <w:docGrid w:linePitch="360"/>
        </w:sectPr>
      </w:pPr>
    </w:p>
    <w:p w:rsidR="00CE6AB7" w:rsidRDefault="00DE7F97" w:rsidP="00D544A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Legalized</w:t>
      </w:r>
      <w:r w:rsidR="00D544AA" w:rsidRPr="005F2D4D">
        <w:rPr>
          <w:rFonts w:ascii="Times New Roman" w:hAnsi="Times New Roman" w:cs="Times New Roman"/>
          <w:b/>
          <w:sz w:val="36"/>
          <w:szCs w:val="24"/>
        </w:rPr>
        <w:t xml:space="preserve"> Marijuana: Public Health Concern and Regulation </w:t>
      </w:r>
      <w:r w:rsidR="004B5F2A">
        <w:rPr>
          <w:rFonts w:ascii="Times New Roman" w:hAnsi="Times New Roman" w:cs="Times New Roman"/>
          <w:b/>
          <w:sz w:val="36"/>
          <w:szCs w:val="24"/>
        </w:rPr>
        <w:t>Best Practices</w:t>
      </w:r>
    </w:p>
    <w:p w:rsidR="005F2D4D" w:rsidRPr="008B2E26" w:rsidRDefault="005F2D4D" w:rsidP="008B2E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2E26">
        <w:rPr>
          <w:rFonts w:ascii="Times New Roman" w:hAnsi="Times New Roman" w:cs="Times New Roman"/>
          <w:sz w:val="24"/>
          <w:szCs w:val="24"/>
        </w:rPr>
        <w:t>Research has found that increased access to a substance leads to increased use among youth and adults. It is important to establish strong policies and regulations from the outset to decrease negative public health consequences</w:t>
      </w:r>
      <w:r w:rsidR="008B2E26">
        <w:rPr>
          <w:rFonts w:ascii="Times New Roman" w:hAnsi="Times New Roman" w:cs="Times New Roman"/>
          <w:sz w:val="24"/>
          <w:szCs w:val="24"/>
        </w:rPr>
        <w:t xml:space="preserve"> of increased use</w:t>
      </w:r>
      <w:r w:rsidRPr="008B2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D4D" w:rsidRPr="008B2E26" w:rsidRDefault="005F2D4D" w:rsidP="008B2E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2E26">
        <w:rPr>
          <w:rFonts w:ascii="Times New Roman" w:hAnsi="Times New Roman" w:cs="Times New Roman"/>
          <w:sz w:val="24"/>
          <w:szCs w:val="24"/>
        </w:rPr>
        <w:t xml:space="preserve">Public health concerns of increased access to marijuana include: increased youth access &amp; use, drugged driving, dependence and addiction, unwanted contaminants and uncertain potency of products, and concurrent use of marijuana and alcohol. </w:t>
      </w:r>
    </w:p>
    <w:p w:rsidR="008B2E26" w:rsidRPr="008B2E26" w:rsidRDefault="008B2E26" w:rsidP="008B2E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2E26">
        <w:rPr>
          <w:rFonts w:ascii="Times New Roman" w:hAnsi="Times New Roman" w:cs="Times New Roman"/>
          <w:sz w:val="24"/>
          <w:szCs w:val="24"/>
        </w:rPr>
        <w:t xml:space="preserve">The regulation </w:t>
      </w:r>
      <w:r w:rsidR="004B5F2A">
        <w:rPr>
          <w:rFonts w:ascii="Times New Roman" w:hAnsi="Times New Roman" w:cs="Times New Roman"/>
          <w:sz w:val="24"/>
          <w:szCs w:val="24"/>
        </w:rPr>
        <w:t>best practices</w:t>
      </w:r>
      <w:r w:rsidRPr="008B2E26">
        <w:rPr>
          <w:rFonts w:ascii="Times New Roman" w:hAnsi="Times New Roman" w:cs="Times New Roman"/>
          <w:sz w:val="24"/>
          <w:szCs w:val="24"/>
        </w:rPr>
        <w:t xml:space="preserve"> outlined below have been effective in </w:t>
      </w:r>
      <w:r w:rsidR="004B5F2A">
        <w:rPr>
          <w:rFonts w:ascii="Times New Roman" w:hAnsi="Times New Roman" w:cs="Times New Roman"/>
          <w:sz w:val="24"/>
          <w:szCs w:val="24"/>
        </w:rPr>
        <w:t>preventing the public health concerns marked with a check</w:t>
      </w:r>
      <w:r w:rsidRPr="008B2E26">
        <w:rPr>
          <w:rFonts w:ascii="Times New Roman" w:hAnsi="Times New Roman" w:cs="Times New Roman"/>
          <w:sz w:val="24"/>
          <w:szCs w:val="24"/>
        </w:rPr>
        <w:t xml:space="preserve">, and could be </w:t>
      </w:r>
      <w:r>
        <w:rPr>
          <w:rFonts w:ascii="Times New Roman" w:hAnsi="Times New Roman" w:cs="Times New Roman"/>
          <w:sz w:val="24"/>
          <w:szCs w:val="24"/>
        </w:rPr>
        <w:t xml:space="preserve">adopted </w:t>
      </w:r>
      <w:r w:rsidRPr="008B2E26">
        <w:rPr>
          <w:rFonts w:ascii="Times New Roman" w:hAnsi="Times New Roman" w:cs="Times New Roman"/>
          <w:sz w:val="24"/>
          <w:szCs w:val="24"/>
        </w:rPr>
        <w:t>to regulate marijuana.</w:t>
      </w:r>
      <w:r>
        <w:rPr>
          <w:rFonts w:ascii="Times New Roman" w:hAnsi="Times New Roman" w:cs="Times New Roman"/>
          <w:sz w:val="24"/>
          <w:szCs w:val="24"/>
        </w:rPr>
        <w:t xml:space="preserve"> Pages </w:t>
      </w:r>
      <w:r w:rsidR="001973F2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outline</w:t>
      </w:r>
      <w:r w:rsidR="001973F2">
        <w:rPr>
          <w:rFonts w:ascii="Times New Roman" w:hAnsi="Times New Roman" w:cs="Times New Roman"/>
          <w:sz w:val="24"/>
          <w:szCs w:val="24"/>
        </w:rPr>
        <w:t xml:space="preserve"> </w:t>
      </w:r>
      <w:r w:rsidR="004B5F2A">
        <w:rPr>
          <w:rFonts w:ascii="Times New Roman" w:hAnsi="Times New Roman" w:cs="Times New Roman"/>
          <w:sz w:val="24"/>
          <w:szCs w:val="24"/>
        </w:rPr>
        <w:t>methods used n</w:t>
      </w:r>
      <w:r w:rsidR="001973F2">
        <w:rPr>
          <w:rFonts w:ascii="Times New Roman" w:hAnsi="Times New Roman" w:cs="Times New Roman"/>
          <w:sz w:val="24"/>
          <w:szCs w:val="24"/>
        </w:rPr>
        <w:t xml:space="preserve">ationally </w:t>
      </w:r>
      <w:r w:rsidR="00DE7F97">
        <w:rPr>
          <w:rFonts w:ascii="Times New Roman" w:hAnsi="Times New Roman" w:cs="Times New Roman"/>
          <w:sz w:val="24"/>
          <w:szCs w:val="24"/>
        </w:rPr>
        <w:t>to implement</w:t>
      </w:r>
      <w:r w:rsidR="001973F2">
        <w:rPr>
          <w:rFonts w:ascii="Times New Roman" w:hAnsi="Times New Roman" w:cs="Times New Roman"/>
          <w:sz w:val="24"/>
          <w:szCs w:val="24"/>
        </w:rPr>
        <w:t xml:space="preserve"> these best practices; if and how the current </w:t>
      </w:r>
      <w:r w:rsidR="00DE7F97">
        <w:rPr>
          <w:rFonts w:ascii="Times New Roman" w:hAnsi="Times New Roman" w:cs="Times New Roman"/>
          <w:sz w:val="24"/>
          <w:szCs w:val="24"/>
        </w:rPr>
        <w:t>state statute</w:t>
      </w:r>
      <w:r w:rsidR="001973F2">
        <w:rPr>
          <w:rFonts w:ascii="Times New Roman" w:hAnsi="Times New Roman" w:cs="Times New Roman"/>
          <w:sz w:val="24"/>
          <w:szCs w:val="24"/>
        </w:rPr>
        <w:t xml:space="preserve"> meets this regulation recommendation</w:t>
      </w:r>
      <w:r w:rsidR="004B5F2A">
        <w:rPr>
          <w:rFonts w:ascii="Times New Roman" w:hAnsi="Times New Roman" w:cs="Times New Roman"/>
          <w:sz w:val="24"/>
          <w:szCs w:val="24"/>
        </w:rPr>
        <w:t xml:space="preserve"> (NOTE – the state has not finalized regulations)</w:t>
      </w:r>
      <w:r w:rsidR="001973F2">
        <w:rPr>
          <w:rFonts w:ascii="Times New Roman" w:hAnsi="Times New Roman" w:cs="Times New Roman"/>
          <w:sz w:val="24"/>
          <w:szCs w:val="24"/>
        </w:rPr>
        <w:t>;</w:t>
      </w:r>
      <w:r w:rsidR="004B5F2A">
        <w:rPr>
          <w:rFonts w:ascii="Times New Roman" w:hAnsi="Times New Roman" w:cs="Times New Roman"/>
          <w:sz w:val="24"/>
          <w:szCs w:val="24"/>
        </w:rPr>
        <w:t xml:space="preserve"> and options</w:t>
      </w:r>
      <w:r>
        <w:rPr>
          <w:rFonts w:ascii="Times New Roman" w:hAnsi="Times New Roman" w:cs="Times New Roman"/>
          <w:sz w:val="24"/>
          <w:szCs w:val="24"/>
        </w:rPr>
        <w:t xml:space="preserve"> municipalities could adopt to strengthen state regulations. </w:t>
      </w:r>
    </w:p>
    <w:p w:rsidR="00CE6AB7" w:rsidRDefault="00CE6AB7" w:rsidP="00CE6AB7">
      <w:pPr>
        <w:pStyle w:val="Title"/>
        <w:pBdr>
          <w:bottom w:val="none" w:sz="0" w:space="0" w:color="auto"/>
        </w:pBdr>
        <w:tabs>
          <w:tab w:val="left" w:pos="12180"/>
        </w:tabs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Ind w:w="-2232" w:type="dxa"/>
        <w:tblLook w:val="04A0" w:firstRow="1" w:lastRow="0" w:firstColumn="1" w:lastColumn="0" w:noHBand="0" w:noVBand="1"/>
      </w:tblPr>
      <w:tblGrid>
        <w:gridCol w:w="4362"/>
        <w:gridCol w:w="1628"/>
        <w:gridCol w:w="1628"/>
        <w:gridCol w:w="1629"/>
        <w:gridCol w:w="1628"/>
        <w:gridCol w:w="1629"/>
      </w:tblGrid>
      <w:tr w:rsidR="00AC1D4B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D4B" w:rsidRDefault="00AC1D4B">
            <w:pPr>
              <w:rPr>
                <w:rFonts w:ascii="Times New Roman" w:hAnsi="Times New Roman" w:cs="Times New Roman"/>
                <w:sz w:val="24"/>
              </w:rPr>
            </w:pPr>
          </w:p>
          <w:p w:rsidR="005F2D4D" w:rsidRPr="00A45B4D" w:rsidRDefault="005F2D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5B4D">
              <w:rPr>
                <w:rFonts w:ascii="Times New Roman" w:hAnsi="Times New Roman" w:cs="Times New Roman"/>
                <w:b/>
                <w:sz w:val="28"/>
              </w:rPr>
              <w:t xml:space="preserve">Public Health Concerns </w:t>
            </w:r>
          </w:p>
          <w:p w:rsidR="00AC1D4B" w:rsidRPr="00A45B4D" w:rsidRDefault="00AC1D4B" w:rsidP="00D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D">
              <w:rPr>
                <w:rFonts w:ascii="Times New Roman" w:hAnsi="Times New Roman" w:cs="Times New Roman"/>
                <w:sz w:val="20"/>
                <w:szCs w:val="20"/>
              </w:rPr>
              <w:t>(A “</w:t>
            </w:r>
            <w:r w:rsidR="00C7414C"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  <w:r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” below indicates that </w:t>
            </w:r>
            <w:r w:rsidR="00FB1CD1" w:rsidRPr="00A45B4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E26"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public health </w:t>
            </w:r>
            <w:r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concern </w:t>
            </w:r>
            <w:r w:rsidR="00FB1CD1"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can be </w:t>
            </w:r>
            <w:r w:rsidR="00763E26"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effectively </w:t>
            </w:r>
            <w:r w:rsidR="00D92132" w:rsidRPr="00A45B4D">
              <w:rPr>
                <w:rFonts w:ascii="Times New Roman" w:hAnsi="Times New Roman" w:cs="Times New Roman"/>
                <w:sz w:val="20"/>
                <w:szCs w:val="20"/>
              </w:rPr>
              <w:t>addressed</w:t>
            </w:r>
            <w:r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 by the </w:t>
            </w:r>
            <w:r w:rsidR="00FB1CD1" w:rsidRPr="00A45B4D">
              <w:rPr>
                <w:rFonts w:ascii="Times New Roman" w:hAnsi="Times New Roman" w:cs="Times New Roman"/>
                <w:sz w:val="20"/>
                <w:szCs w:val="20"/>
              </w:rPr>
              <w:t>regulation option listed</w:t>
            </w:r>
            <w:r w:rsidR="00763E26"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 on left</w:t>
            </w:r>
            <w:r w:rsidRPr="00A45B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C1D4B" w:rsidRPr="00A45B4D" w:rsidTr="005F2D4D">
        <w:trPr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D4B" w:rsidRPr="00A45B4D" w:rsidRDefault="00FB1CD1" w:rsidP="004B5F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B4D">
              <w:rPr>
                <w:rFonts w:ascii="Times New Roman" w:hAnsi="Times New Roman" w:cs="Times New Roman"/>
                <w:b/>
                <w:sz w:val="28"/>
              </w:rPr>
              <w:t xml:space="preserve">Regulation </w:t>
            </w:r>
            <w:r w:rsidR="004B5F2A">
              <w:rPr>
                <w:rFonts w:ascii="Times New Roman" w:hAnsi="Times New Roman" w:cs="Times New Roman"/>
                <w:b/>
                <w:sz w:val="28"/>
              </w:rPr>
              <w:t>Best Practices</w:t>
            </w:r>
            <w:r w:rsidR="00D92132" w:rsidRPr="00A45B4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Youth Access &amp; Use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1D4B" w:rsidRPr="00A45B4D" w:rsidRDefault="00E0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Impaired</w:t>
            </w:r>
            <w:r w:rsidR="00AC1D4B" w:rsidRPr="00A45B4D">
              <w:rPr>
                <w:rFonts w:ascii="Times New Roman" w:hAnsi="Times New Roman" w:cs="Times New Roman"/>
                <w:sz w:val="24"/>
              </w:rPr>
              <w:t xml:space="preserve"> Driving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Dependence and Addiction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Unwanted contaminants and uncertain potency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Concurrent use of marijuana and alcohol</w:t>
            </w:r>
          </w:p>
        </w:tc>
      </w:tr>
      <w:tr w:rsidR="00AC1D4B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AC1D4B" w:rsidP="00FB1C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Increase prices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D4B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AC1D4B" w:rsidP="00FB1C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Restrict and carefully monitor licenses and licensees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AC1D4B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AC1D4B" w:rsidP="00FB1C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Limit marketing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AC1D4B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AC1D4B" w:rsidP="00FB1C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Limit types of products sold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AC1D4B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AC1D4B" w:rsidP="00FB1C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Restrict public consumption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AC1D4B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AC1D4B" w:rsidP="00FB1C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Measure and prevent impaired driving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A45B4D" w:rsidRDefault="00AC1D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B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8B4CD7" w:rsidRPr="00A45B4D" w:rsidTr="005F2D4D">
        <w:trPr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D7" w:rsidRPr="00A45B4D" w:rsidRDefault="008B4CD7" w:rsidP="00FB1C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t>Prevent social access by youth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D7" w:rsidRPr="00A45B4D" w:rsidRDefault="00C74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B4D"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D7" w:rsidRPr="00A45B4D" w:rsidRDefault="008B4C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D7" w:rsidRPr="00A45B4D" w:rsidRDefault="008B4C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D7" w:rsidRPr="00A45B4D" w:rsidRDefault="008B4C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D7" w:rsidRPr="00A45B4D" w:rsidRDefault="008B4C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6AB7" w:rsidRDefault="00CE6AB7"/>
    <w:p w:rsidR="008E0939" w:rsidRDefault="008E0939">
      <w:pPr>
        <w:sectPr w:rsidR="008E0939" w:rsidSect="009A4C0A">
          <w:footerReference w:type="default" r:id="rId12"/>
          <w:footerReference w:type="first" r:id="rId13"/>
          <w:pgSz w:w="15840" w:h="12240" w:orient="landscape"/>
          <w:pgMar w:top="1440" w:right="1440" w:bottom="1440" w:left="1440" w:header="0" w:footer="144" w:gutter="0"/>
          <w:cols w:space="720"/>
          <w:docGrid w:linePitch="360"/>
        </w:sectPr>
      </w:pPr>
    </w:p>
    <w:p w:rsidR="007B7BD3" w:rsidRDefault="007B7B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3847"/>
        <w:gridCol w:w="3993"/>
        <w:gridCol w:w="4114"/>
      </w:tblGrid>
      <w:tr w:rsidR="0055712E" w:rsidRPr="00627BC5" w:rsidTr="00D527BF">
        <w:trPr>
          <w:tblHeader/>
          <w:jc w:val="center"/>
        </w:trPr>
        <w:tc>
          <w:tcPr>
            <w:tcW w:w="2950" w:type="dxa"/>
          </w:tcPr>
          <w:p w:rsidR="001248EA" w:rsidRPr="00A752E9" w:rsidRDefault="00B41621" w:rsidP="004B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Regulation </w:t>
            </w:r>
            <w:r w:rsidR="004B5F2A">
              <w:rPr>
                <w:rFonts w:ascii="Times New Roman" w:hAnsi="Times New Roman" w:cs="Times New Roman"/>
                <w:b/>
                <w:sz w:val="24"/>
                <w:szCs w:val="24"/>
              </w:rPr>
              <w:t>Best Practice</w:t>
            </w:r>
          </w:p>
        </w:tc>
        <w:tc>
          <w:tcPr>
            <w:tcW w:w="3847" w:type="dxa"/>
          </w:tcPr>
          <w:p w:rsidR="001248EA" w:rsidRPr="00A752E9" w:rsidRDefault="0055712E" w:rsidP="00B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>How?</w:t>
            </w:r>
            <w:r w:rsidR="00C7414C"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41621"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>Methods</w:t>
            </w:r>
            <w:r w:rsidR="00C7414C"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used to regulate </w:t>
            </w:r>
            <w:r w:rsidR="00C7414C"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alcohol or tobacco</w:t>
            </w:r>
          </w:p>
        </w:tc>
        <w:tc>
          <w:tcPr>
            <w:tcW w:w="3993" w:type="dxa"/>
          </w:tcPr>
          <w:p w:rsidR="001248EA" w:rsidRPr="00A752E9" w:rsidRDefault="001248EA" w:rsidP="0062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DE7F97">
              <w:rPr>
                <w:rFonts w:ascii="Times New Roman" w:hAnsi="Times New Roman" w:cs="Times New Roman"/>
                <w:b/>
                <w:sz w:val="24"/>
                <w:szCs w:val="24"/>
              </w:rPr>
              <w:t>Statute</w:t>
            </w: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B75" w:rsidRPr="00A752E9" w:rsidRDefault="00705B75" w:rsidP="00627B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>(as passed</w:t>
            </w:r>
            <w:r w:rsidR="007E1C58"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>, does not reflect changes adopted since 11/2016</w:t>
            </w:r>
            <w:r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14" w:type="dxa"/>
          </w:tcPr>
          <w:p w:rsidR="001248EA" w:rsidRPr="00D11941" w:rsidRDefault="00D544AA" w:rsidP="00627B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Options for Municipalities</w:t>
            </w:r>
            <w:r w:rsidR="00D11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11941" w:rsidRPr="00D11941">
              <w:rPr>
                <w:rFonts w:ascii="Times New Roman" w:hAnsi="Times New Roman" w:cs="Times New Roman"/>
                <w:i/>
                <w:sz w:val="24"/>
                <w:szCs w:val="24"/>
              </w:rPr>
              <w:t>Prohibiting retail sales is an option</w:t>
            </w:r>
          </w:p>
          <w:p w:rsidR="00D527BF" w:rsidRPr="00A752E9" w:rsidRDefault="00D527BF" w:rsidP="00D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2E" w:rsidTr="00D527BF">
        <w:trPr>
          <w:jc w:val="center"/>
        </w:trPr>
        <w:tc>
          <w:tcPr>
            <w:tcW w:w="2950" w:type="dxa"/>
          </w:tcPr>
          <w:p w:rsidR="001248EA" w:rsidRPr="00763E26" w:rsidRDefault="001248EA" w:rsidP="0093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="00D11941">
              <w:rPr>
                <w:rFonts w:ascii="Times New Roman" w:hAnsi="Times New Roman" w:cs="Times New Roman"/>
                <w:sz w:val="24"/>
                <w:szCs w:val="24"/>
              </w:rPr>
              <w:t>prices</w:t>
            </w:r>
          </w:p>
          <w:p w:rsidR="001248EA" w:rsidRPr="00763E26" w:rsidRDefault="001248EA" w:rsidP="0093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1248EA" w:rsidRPr="00763E26" w:rsidRDefault="001248EA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Excise taxes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Limit production licenses</w:t>
            </w:r>
          </w:p>
        </w:tc>
        <w:tc>
          <w:tcPr>
            <w:tcW w:w="3993" w:type="dxa"/>
          </w:tcPr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Sales tax 10%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State cannot fix prices</w:t>
            </w:r>
          </w:p>
        </w:tc>
        <w:tc>
          <w:tcPr>
            <w:tcW w:w="4114" w:type="dxa"/>
          </w:tcPr>
          <w:p w:rsidR="001248EA" w:rsidRPr="00763E26" w:rsidRDefault="007E1C58" w:rsidP="00705B7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="00705B75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taxes</w:t>
            </w:r>
            <w:r w:rsidR="00D544AA">
              <w:rPr>
                <w:rFonts w:ascii="Times New Roman" w:hAnsi="Times New Roman" w:cs="Times New Roman"/>
                <w:sz w:val="24"/>
                <w:szCs w:val="24"/>
              </w:rPr>
              <w:t xml:space="preserve"> or fees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B75" w:rsidRPr="00763E26">
              <w:rPr>
                <w:rFonts w:ascii="Times New Roman" w:hAnsi="Times New Roman" w:cs="Times New Roman"/>
                <w:sz w:val="24"/>
                <w:szCs w:val="24"/>
              </w:rPr>
              <w:t>to be in line with other</w:t>
            </w:r>
            <w:r w:rsidR="001973F2">
              <w:rPr>
                <w:rFonts w:ascii="Times New Roman" w:hAnsi="Times New Roman" w:cs="Times New Roman"/>
                <w:sz w:val="24"/>
                <w:szCs w:val="24"/>
              </w:rPr>
              <w:t xml:space="preserve"> states or </w:t>
            </w:r>
            <w:r w:rsidR="00705B75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4AA">
              <w:rPr>
                <w:rFonts w:ascii="Times New Roman" w:hAnsi="Times New Roman" w:cs="Times New Roman"/>
                <w:sz w:val="24"/>
                <w:szCs w:val="24"/>
              </w:rPr>
              <w:t>municipalities</w:t>
            </w:r>
          </w:p>
          <w:p w:rsidR="00D11941" w:rsidRPr="00D11941" w:rsidRDefault="007E1C58" w:rsidP="00D119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Adopt minimum pricing requirements</w:t>
            </w:r>
          </w:p>
        </w:tc>
      </w:tr>
      <w:tr w:rsidR="0055712E" w:rsidTr="00D527BF">
        <w:trPr>
          <w:jc w:val="center"/>
        </w:trPr>
        <w:tc>
          <w:tcPr>
            <w:tcW w:w="2950" w:type="dxa"/>
          </w:tcPr>
          <w:p w:rsidR="001248EA" w:rsidRPr="00763E26" w:rsidRDefault="001248EA" w:rsidP="0093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Restrict and carefully monitor licenses and licensees</w:t>
            </w:r>
          </w:p>
        </w:tc>
        <w:tc>
          <w:tcPr>
            <w:tcW w:w="3847" w:type="dxa"/>
          </w:tcPr>
          <w:p w:rsidR="001248EA" w:rsidRPr="00763E26" w:rsidRDefault="001248EA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License EVERY part of supply chain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Keep number of licenses low – lower cost to regulate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Restrict density and location</w:t>
            </w:r>
          </w:p>
          <w:p w:rsidR="0055712E" w:rsidRPr="00763E26" w:rsidRDefault="001248EA" w:rsidP="0055712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Restrict modes of sales (e.g. no vending machines or self-service)</w:t>
            </w:r>
          </w:p>
          <w:p w:rsidR="0055712E" w:rsidRPr="00763E26" w:rsidRDefault="001248EA" w:rsidP="0055712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Restrict hours of operation</w:t>
            </w:r>
          </w:p>
          <w:p w:rsidR="001248EA" w:rsidRPr="00763E26" w:rsidRDefault="001248EA" w:rsidP="0055712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Restrict goods that can be sold</w:t>
            </w:r>
          </w:p>
          <w:p w:rsidR="001248EA" w:rsidRPr="00763E26" w:rsidRDefault="001248EA" w:rsidP="0062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Licenses at every </w:t>
            </w:r>
            <w:r w:rsidR="0055712E" w:rsidRPr="00763E26">
              <w:rPr>
                <w:rFonts w:ascii="Times New Roman" w:hAnsi="Times New Roman" w:cs="Times New Roman"/>
                <w:sz w:val="24"/>
                <w:szCs w:val="24"/>
              </w:rPr>
              <w:t>supply chain</w:t>
            </w: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Training of officers required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State cannot limit licenses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Only MJ, accessories, </w:t>
            </w:r>
            <w:r w:rsidR="00817E8B" w:rsidRPr="00763E26">
              <w:rPr>
                <w:rFonts w:ascii="Times New Roman" w:hAnsi="Times New Roman" w:cs="Times New Roman"/>
                <w:sz w:val="24"/>
                <w:szCs w:val="24"/>
              </w:rPr>
              <w:t>non-consumables</w:t>
            </w: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allowed </w:t>
            </w:r>
            <w:r w:rsidR="00705B75" w:rsidRPr="00763E2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stores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No vending machines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Municipalities must  approve all licenses, can restrict, limit or prohibit licenses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Can have local licensing requirements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MUST card</w:t>
            </w:r>
          </w:p>
        </w:tc>
        <w:tc>
          <w:tcPr>
            <w:tcW w:w="4114" w:type="dxa"/>
          </w:tcPr>
          <w:p w:rsidR="009837AA" w:rsidRPr="00763E26" w:rsidRDefault="009837AA" w:rsidP="009837A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Regulate like alcohol:</w:t>
            </w:r>
          </w:p>
          <w:p w:rsidR="009837AA" w:rsidRPr="00763E26" w:rsidRDefault="0055712E" w:rsidP="00A752E9">
            <w:pPr>
              <w:pStyle w:val="ListParagraph"/>
              <w:numPr>
                <w:ilvl w:val="1"/>
                <w:numId w:val="9"/>
              </w:numPr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Require &amp; </w:t>
            </w:r>
            <w:r w:rsidR="00D544AA">
              <w:rPr>
                <w:rFonts w:ascii="Times New Roman" w:hAnsi="Times New Roman" w:cs="Times New Roman"/>
                <w:sz w:val="24"/>
                <w:szCs w:val="24"/>
              </w:rPr>
              <w:t>conduct regular</w:t>
            </w: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compliance c</w:t>
            </w:r>
            <w:r w:rsidR="00D544AA">
              <w:rPr>
                <w:rFonts w:ascii="Times New Roman" w:hAnsi="Times New Roman" w:cs="Times New Roman"/>
                <w:sz w:val="24"/>
                <w:szCs w:val="24"/>
              </w:rPr>
              <w:t>hecks</w:t>
            </w:r>
            <w:r w:rsidR="00D11941">
              <w:rPr>
                <w:rFonts w:ascii="Times New Roman" w:hAnsi="Times New Roman" w:cs="Times New Roman"/>
                <w:sz w:val="24"/>
                <w:szCs w:val="24"/>
              </w:rPr>
              <w:t xml:space="preserve"> (law enforcement must be trained)</w:t>
            </w:r>
          </w:p>
          <w:p w:rsidR="009837AA" w:rsidRPr="00763E26" w:rsidRDefault="00D11941" w:rsidP="00A752E9">
            <w:pPr>
              <w:pStyle w:val="ListParagraph"/>
              <w:numPr>
                <w:ilvl w:val="1"/>
                <w:numId w:val="9"/>
              </w:numPr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 l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icense revoking ability </w:t>
            </w:r>
            <w:r w:rsidR="0055712E" w:rsidRPr="00763E26">
              <w:rPr>
                <w:rFonts w:ascii="Times New Roman" w:hAnsi="Times New Roman" w:cs="Times New Roman"/>
                <w:sz w:val="24"/>
                <w:szCs w:val="24"/>
              </w:rPr>
              <w:t>for illegal sales</w:t>
            </w:r>
          </w:p>
          <w:p w:rsidR="009837AA" w:rsidRPr="00763E26" w:rsidRDefault="00D11941" w:rsidP="00A752E9">
            <w:pPr>
              <w:pStyle w:val="ListParagraph"/>
              <w:numPr>
                <w:ilvl w:val="1"/>
                <w:numId w:val="9"/>
              </w:numPr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 illegal sale c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>onsequence</w:t>
            </w:r>
            <w:r w:rsidR="0055712E" w:rsidRPr="00763E26">
              <w:rPr>
                <w:rFonts w:ascii="Times New Roman" w:hAnsi="Times New Roman" w:cs="Times New Roman"/>
                <w:sz w:val="24"/>
                <w:szCs w:val="24"/>
              </w:rPr>
              <w:t>/fine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licensee</w:t>
            </w:r>
            <w:r w:rsidR="0055712E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12E" w:rsidRDefault="00763E26" w:rsidP="00A752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</w:t>
            </w:r>
            <w:r w:rsidR="007E1C58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AC" w:rsidRPr="00763E26">
              <w:rPr>
                <w:rFonts w:ascii="Times New Roman" w:hAnsi="Times New Roman" w:cs="Times New Roman"/>
                <w:i/>
                <w:sz w:val="24"/>
                <w:szCs w:val="24"/>
              </w:rPr>
              <w:t>Responsible Marijuana Licensee</w:t>
            </w:r>
            <w:r w:rsidR="00457AAC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trainings</w:t>
            </w:r>
            <w:r w:rsidR="00D11941">
              <w:rPr>
                <w:rFonts w:ascii="Times New Roman" w:hAnsi="Times New Roman" w:cs="Times New Roman"/>
                <w:sz w:val="24"/>
                <w:szCs w:val="24"/>
              </w:rPr>
              <w:t xml:space="preserve"> of all retailers and clerks</w:t>
            </w:r>
            <w:r w:rsidR="00457AAC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to cover law and best retail practices</w:t>
            </w:r>
            <w:r w:rsidR="007E1C58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such as current</w:t>
            </w:r>
            <w:r w:rsidR="007E1C58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alcohol licensee trainings</w:t>
            </w:r>
            <w:r w:rsidR="007E1C58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903EB" w:rsidRPr="00763E26" w:rsidRDefault="00B903EB" w:rsidP="001424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Ensure </w:t>
            </w:r>
            <w:r w:rsidR="001424F5">
              <w:rPr>
                <w:rFonts w:ascii="Times New Roman" w:hAnsi="Times New Roman" w:cs="Times New Roman"/>
                <w:sz w:val="24"/>
                <w:szCs w:val="24"/>
              </w:rPr>
              <w:t>regular inspection of supply chain (retail, grow, testing &amp; manufacturing/production)</w:t>
            </w:r>
          </w:p>
        </w:tc>
      </w:tr>
      <w:tr w:rsidR="0055712E" w:rsidTr="00D527BF">
        <w:trPr>
          <w:jc w:val="center"/>
        </w:trPr>
        <w:tc>
          <w:tcPr>
            <w:tcW w:w="2950" w:type="dxa"/>
          </w:tcPr>
          <w:p w:rsidR="001248EA" w:rsidRPr="00763E26" w:rsidRDefault="001248EA" w:rsidP="0093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Limit marketing</w:t>
            </w:r>
          </w:p>
        </w:tc>
        <w:tc>
          <w:tcPr>
            <w:tcW w:w="3847" w:type="dxa"/>
          </w:tcPr>
          <w:p w:rsidR="001248EA" w:rsidRPr="00763E26" w:rsidRDefault="001248EA" w:rsidP="0055712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Ban:</w:t>
            </w:r>
          </w:p>
          <w:p w:rsidR="001248EA" w:rsidRPr="00763E26" w:rsidRDefault="001248EA" w:rsidP="00763E26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Advertising – print, television, radio, </w:t>
            </w:r>
            <w:r w:rsidR="0027411D" w:rsidRPr="00763E26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:rsidR="001248EA" w:rsidRPr="00763E26" w:rsidRDefault="001248EA" w:rsidP="00763E26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Promotions: Price discounts, coupons, free samples</w:t>
            </w:r>
          </w:p>
          <w:p w:rsidR="001248EA" w:rsidRPr="00763E26" w:rsidRDefault="001248EA" w:rsidP="00763E26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Sponsorships</w:t>
            </w:r>
          </w:p>
          <w:p w:rsidR="001248EA" w:rsidRPr="00763E26" w:rsidRDefault="001248EA" w:rsidP="00763E26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Indirect – merchandise</w:t>
            </w:r>
          </w:p>
          <w:p w:rsidR="001248EA" w:rsidRPr="00763E26" w:rsidRDefault="001248EA" w:rsidP="00763E26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Retail displays</w:t>
            </w:r>
          </w:p>
          <w:p w:rsidR="0055712E" w:rsidRPr="00763E26" w:rsidRDefault="0055712E" w:rsidP="0055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EA" w:rsidRPr="00763E26" w:rsidRDefault="001248EA" w:rsidP="0055712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Require plain packaging</w:t>
            </w:r>
          </w:p>
        </w:tc>
        <w:tc>
          <w:tcPr>
            <w:tcW w:w="3993" w:type="dxa"/>
          </w:tcPr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Limits on retail displays required - TBD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Limits on marketing required, must not appeal to youth - details TBD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No mass marketing allowed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No packaging implying it is a trademarked food product</w:t>
            </w:r>
          </w:p>
          <w:p w:rsidR="001248EA" w:rsidRPr="00763E26" w:rsidRDefault="001248EA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21 to purchase, not to enter</w:t>
            </w:r>
          </w:p>
          <w:p w:rsidR="001248EA" w:rsidRPr="00763E26" w:rsidRDefault="001248EA" w:rsidP="00C35F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Personal – must restrict access by under 12</w:t>
            </w:r>
          </w:p>
        </w:tc>
        <w:tc>
          <w:tcPr>
            <w:tcW w:w="4114" w:type="dxa"/>
          </w:tcPr>
          <w:p w:rsidR="001248EA" w:rsidRPr="00763E26" w:rsidRDefault="00705B75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Have clear, strict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58" w:rsidRPr="00763E26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26">
              <w:rPr>
                <w:rFonts w:ascii="Times New Roman" w:hAnsi="Times New Roman" w:cs="Times New Roman"/>
                <w:sz w:val="24"/>
                <w:szCs w:val="24"/>
              </w:rPr>
              <w:t>– especially for edibles</w:t>
            </w:r>
          </w:p>
          <w:p w:rsidR="009837AA" w:rsidRPr="00763E26" w:rsidRDefault="00D11941" w:rsidP="00457A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Prohibit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unaccompanied minors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9837AA" w:rsidRPr="00763E26">
              <w:rPr>
                <w:rFonts w:ascii="Times New Roman" w:hAnsi="Times New Roman" w:cs="Times New Roman"/>
                <w:sz w:val="24"/>
                <w:szCs w:val="24"/>
              </w:rPr>
              <w:t xml:space="preserve"> shops</w:t>
            </w:r>
          </w:p>
          <w:p w:rsidR="00D544AA" w:rsidRDefault="00D544AA" w:rsidP="00D544A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Restrict signs and advertising</w:t>
            </w:r>
            <w:r w:rsidR="00D11941">
              <w:rPr>
                <w:rFonts w:ascii="Times New Roman" w:hAnsi="Times New Roman" w:cs="Times New Roman"/>
                <w:sz w:val="24"/>
                <w:szCs w:val="24"/>
              </w:rPr>
              <w:t xml:space="preserve"> – especially for advertising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viewed </w:t>
            </w:r>
            <w:r w:rsidR="00D1194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outside the store</w:t>
            </w:r>
          </w:p>
          <w:p w:rsidR="00D544AA" w:rsidRPr="00763E26" w:rsidRDefault="00D544AA" w:rsidP="00D544A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Density guidelines: restrict number of licenses and/or location (not within school or youth serving agency zones) </w:t>
            </w:r>
          </w:p>
        </w:tc>
      </w:tr>
    </w:tbl>
    <w:p w:rsidR="00A45B4D" w:rsidRDefault="00A45B4D"/>
    <w:p w:rsidR="00A45B4D" w:rsidRDefault="00A45B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3847"/>
        <w:gridCol w:w="3993"/>
        <w:gridCol w:w="4114"/>
      </w:tblGrid>
      <w:tr w:rsidR="00D92132" w:rsidTr="00D92132">
        <w:tc>
          <w:tcPr>
            <w:tcW w:w="2950" w:type="dxa"/>
          </w:tcPr>
          <w:p w:rsidR="00D92132" w:rsidRPr="00A752E9" w:rsidRDefault="00D527BF" w:rsidP="004B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D92132"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>Regulation</w:t>
            </w:r>
            <w:r w:rsidR="00D5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5F2A">
              <w:rPr>
                <w:rFonts w:ascii="Times New Roman" w:hAnsi="Times New Roman" w:cs="Times New Roman"/>
                <w:b/>
                <w:sz w:val="24"/>
                <w:szCs w:val="24"/>
              </w:rPr>
              <w:t>Best Practice</w:t>
            </w:r>
          </w:p>
        </w:tc>
        <w:tc>
          <w:tcPr>
            <w:tcW w:w="3847" w:type="dxa"/>
          </w:tcPr>
          <w:p w:rsidR="00D92132" w:rsidRPr="00A752E9" w:rsidRDefault="00D92132" w:rsidP="009A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>How?</w:t>
            </w: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Options used to regulate </w:t>
            </w:r>
            <w:r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alcohol or tobacco</w:t>
            </w:r>
          </w:p>
        </w:tc>
        <w:tc>
          <w:tcPr>
            <w:tcW w:w="3993" w:type="dxa"/>
          </w:tcPr>
          <w:p w:rsidR="00D92132" w:rsidRPr="00A752E9" w:rsidRDefault="00D92132" w:rsidP="009A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DE7F97">
              <w:rPr>
                <w:rFonts w:ascii="Times New Roman" w:hAnsi="Times New Roman" w:cs="Times New Roman"/>
                <w:b/>
                <w:sz w:val="24"/>
                <w:szCs w:val="24"/>
              </w:rPr>
              <w:t>Statute</w:t>
            </w:r>
            <w:r w:rsidRPr="00A7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132" w:rsidRPr="00A752E9" w:rsidRDefault="00D92132" w:rsidP="009A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>(as passed, does not reflect changes adopted since 11/2016)</w:t>
            </w:r>
          </w:p>
        </w:tc>
        <w:tc>
          <w:tcPr>
            <w:tcW w:w="4114" w:type="dxa"/>
          </w:tcPr>
          <w:p w:rsidR="00D92132" w:rsidRDefault="00D544AA" w:rsidP="009A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Options for Municipalities</w:t>
            </w:r>
          </w:p>
          <w:p w:rsidR="00D11941" w:rsidRPr="00A752E9" w:rsidRDefault="00D11941" w:rsidP="009A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1">
              <w:rPr>
                <w:rFonts w:ascii="Times New Roman" w:hAnsi="Times New Roman" w:cs="Times New Roman"/>
                <w:i/>
                <w:sz w:val="24"/>
                <w:szCs w:val="24"/>
              </w:rPr>
              <w:t>Prohibiting retail sales is an option</w:t>
            </w:r>
          </w:p>
          <w:p w:rsidR="00D527BF" w:rsidRPr="00A752E9" w:rsidRDefault="00D527BF" w:rsidP="00D52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132" w:rsidTr="00D92132">
        <w:tc>
          <w:tcPr>
            <w:tcW w:w="2950" w:type="dxa"/>
          </w:tcPr>
          <w:p w:rsidR="00D92132" w:rsidRPr="00A752E9" w:rsidRDefault="00D92132" w:rsidP="009F3C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52E9">
              <w:rPr>
                <w:rFonts w:ascii="Times New Roman" w:hAnsi="Times New Roman" w:cs="Times New Roman"/>
                <w:sz w:val="24"/>
                <w:szCs w:val="24"/>
              </w:rPr>
              <w:br w:type="page"/>
              <w:t>Limit types of products sold</w:t>
            </w:r>
          </w:p>
        </w:tc>
        <w:tc>
          <w:tcPr>
            <w:tcW w:w="3847" w:type="dxa"/>
          </w:tcPr>
          <w:p w:rsidR="00D92132" w:rsidRPr="00A752E9" w:rsidRDefault="00D92132" w:rsidP="009F3C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Limit:</w:t>
            </w:r>
          </w:p>
          <w:p w:rsidR="00D92132" w:rsidRPr="00A752E9" w:rsidRDefault="00D92132" w:rsidP="00E13479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What’s allowed in the product (additives, flavorings)</w:t>
            </w:r>
          </w:p>
          <w:p w:rsidR="00D92132" w:rsidRPr="00A752E9" w:rsidRDefault="00D92132" w:rsidP="00E13479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Methods of production (pesticides, mold, contaminants)</w:t>
            </w:r>
          </w:p>
          <w:p w:rsidR="00D92132" w:rsidRPr="00A752E9" w:rsidRDefault="00D92132" w:rsidP="00E13479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Bundling with other inputs (edibles, nicotine)</w:t>
            </w:r>
          </w:p>
          <w:p w:rsidR="00D92132" w:rsidRPr="00A752E9" w:rsidRDefault="00D92132" w:rsidP="00E13479">
            <w:pPr>
              <w:pStyle w:val="ListParagraph"/>
              <w:numPr>
                <w:ilvl w:val="1"/>
                <w:numId w:val="8"/>
              </w:numPr>
              <w:ind w:left="6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Anything that appeals to youth – candy, sodas, etc.</w:t>
            </w:r>
          </w:p>
        </w:tc>
        <w:tc>
          <w:tcPr>
            <w:tcW w:w="3993" w:type="dxa"/>
          </w:tcPr>
          <w:p w:rsidR="00D92132" w:rsidRPr="00A752E9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THC limit per serving -TBD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Testing of product required to prevent contaminants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Labeling, including THC levels, THC per serving, number of servings &amp; warning labels</w:t>
            </w:r>
          </w:p>
          <w:p w:rsidR="001973F2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3F2"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  <w:r w:rsidR="001973F2">
              <w:rPr>
                <w:rFonts w:ascii="Times New Roman" w:hAnsi="Times New Roman" w:cs="Times New Roman"/>
                <w:sz w:val="24"/>
                <w:szCs w:val="24"/>
              </w:rPr>
              <w:t>l and social clubs  allowed, restricted to marijuana use only</w:t>
            </w:r>
          </w:p>
          <w:p w:rsidR="00D92132" w:rsidRPr="001973F2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3F2">
              <w:rPr>
                <w:rFonts w:ascii="Times New Roman" w:hAnsi="Times New Roman" w:cs="Times New Roman"/>
                <w:sz w:val="24"/>
                <w:szCs w:val="24"/>
              </w:rPr>
              <w:t>No additives designed to make product more appealing to children allowed</w:t>
            </w:r>
          </w:p>
          <w:p w:rsidR="00D92132" w:rsidRPr="00A752E9" w:rsidRDefault="00D92132" w:rsidP="00A7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92132" w:rsidRPr="00A752E9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Allow only single serving edibles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Require child proof packaging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Adopt strong definition on what “appeals to children”</w:t>
            </w:r>
          </w:p>
          <w:p w:rsidR="00D92132" w:rsidRPr="00A752E9" w:rsidRDefault="00D92132" w:rsidP="007308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32" w:rsidTr="00D92132">
        <w:tc>
          <w:tcPr>
            <w:tcW w:w="2950" w:type="dxa"/>
          </w:tcPr>
          <w:p w:rsidR="00D92132" w:rsidRPr="00A752E9" w:rsidRDefault="00D92132" w:rsidP="009F3C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Restrict public consumption</w:t>
            </w:r>
          </w:p>
          <w:p w:rsidR="00D92132" w:rsidRPr="00A752E9" w:rsidRDefault="00D92132" w:rsidP="0093006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47" w:type="dxa"/>
          </w:tcPr>
          <w:p w:rsidR="00D92132" w:rsidRPr="00A752E9" w:rsidRDefault="00D92132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No public place where youth could see or non-user would be exposed</w:t>
            </w:r>
          </w:p>
        </w:tc>
        <w:tc>
          <w:tcPr>
            <w:tcW w:w="3993" w:type="dxa"/>
          </w:tcPr>
          <w:p w:rsidR="00D92132" w:rsidRPr="00A752E9" w:rsidRDefault="00D92132" w:rsidP="00A752E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The prohibitions and limitations on smoking tobacco products in specified areas apply to smoking marijuana.</w:t>
            </w:r>
            <w:r w:rsidRPr="00A752E9">
              <w:rPr>
                <w:rFonts w:ascii="Times New Roman" w:hAnsi="Times New Roman" w:cs="Times New Roman"/>
                <w:i/>
                <w:sz w:val="24"/>
                <w:szCs w:val="24"/>
              </w:rPr>
              <w:t>(Marijuana is included in smoking laws; Title 22, chapters 262 and 263)</w:t>
            </w:r>
          </w:p>
        </w:tc>
        <w:tc>
          <w:tcPr>
            <w:tcW w:w="4114" w:type="dxa"/>
          </w:tcPr>
          <w:p w:rsidR="00D92132" w:rsidRPr="00A752E9" w:rsidRDefault="00D11941" w:rsidP="00705B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 and enforce</w:t>
            </w:r>
            <w:r w:rsidR="00D92132"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 public consumption fines</w:t>
            </w:r>
          </w:p>
          <w:p w:rsidR="00D92132" w:rsidRPr="00A752E9" w:rsidRDefault="00D92132" w:rsidP="0055712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Prohibit or restrict social clubs</w:t>
            </w:r>
          </w:p>
        </w:tc>
      </w:tr>
      <w:tr w:rsidR="00D92132" w:rsidTr="00D92132">
        <w:tc>
          <w:tcPr>
            <w:tcW w:w="2950" w:type="dxa"/>
          </w:tcPr>
          <w:p w:rsidR="00D92132" w:rsidRPr="00A752E9" w:rsidRDefault="00D92132" w:rsidP="009F3C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Measure and prevent impaired driving</w:t>
            </w:r>
          </w:p>
        </w:tc>
        <w:tc>
          <w:tcPr>
            <w:tcW w:w="3847" w:type="dxa"/>
          </w:tcPr>
          <w:p w:rsidR="00D92132" w:rsidRPr="00A752E9" w:rsidRDefault="00D92132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Adopt strict OUI limit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Mandatory fines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Sobriety check points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Media campaigns –best practice, tested messages</w:t>
            </w:r>
          </w:p>
          <w:p w:rsidR="00D92132" w:rsidRPr="00A752E9" w:rsidRDefault="00D92132" w:rsidP="009F3C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Active, visible enforcement</w:t>
            </w:r>
          </w:p>
        </w:tc>
        <w:tc>
          <w:tcPr>
            <w:tcW w:w="3993" w:type="dxa"/>
          </w:tcPr>
          <w:p w:rsidR="00D92132" w:rsidRPr="00A752E9" w:rsidRDefault="00D92132" w:rsidP="00695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Tax revenue to general fund; cannot directly fund new programs but it may be appropriated to the Maine Criminal Justice Academy </w:t>
            </w:r>
          </w:p>
          <w:p w:rsidR="00D92132" w:rsidRPr="00A752E9" w:rsidRDefault="00D92132" w:rsidP="00A752E9">
            <w:pPr>
              <w:pStyle w:val="ListParagraph"/>
              <w:numPr>
                <w:ilvl w:val="1"/>
                <w:numId w:val="8"/>
              </w:numPr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For training law enforcement personnel on retail marijuana and retail marijuana products laws and rules. </w:t>
            </w:r>
          </w:p>
          <w:p w:rsidR="00D92132" w:rsidRPr="00A752E9" w:rsidRDefault="00D92132" w:rsidP="00A752E9">
            <w:pPr>
              <w:pStyle w:val="ListParagraph"/>
              <w:numPr>
                <w:ilvl w:val="1"/>
                <w:numId w:val="8"/>
              </w:numPr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Funds </w:t>
            </w:r>
            <w:r w:rsidR="00A752E9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only be used for training and education </w:t>
            </w:r>
            <w:r w:rsidR="00A752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 law enforcement personnel.  </w:t>
            </w:r>
          </w:p>
        </w:tc>
        <w:tc>
          <w:tcPr>
            <w:tcW w:w="4114" w:type="dxa"/>
          </w:tcPr>
          <w:p w:rsidR="00D92132" w:rsidRPr="00A752E9" w:rsidRDefault="00D11941" w:rsidP="00695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law enforcement is trained and prepared, with reliable testing resources and budget for OUI details</w:t>
            </w:r>
          </w:p>
          <w:p w:rsidR="00D92132" w:rsidRPr="00A752E9" w:rsidRDefault="00D92132" w:rsidP="007E1C5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Prohibit social clubs</w:t>
            </w:r>
          </w:p>
        </w:tc>
      </w:tr>
      <w:tr w:rsidR="00D92132" w:rsidTr="00D92132">
        <w:tc>
          <w:tcPr>
            <w:tcW w:w="2950" w:type="dxa"/>
          </w:tcPr>
          <w:p w:rsidR="00D92132" w:rsidRPr="00A752E9" w:rsidRDefault="00D92132" w:rsidP="00457A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Prevent social access by youth </w:t>
            </w:r>
          </w:p>
        </w:tc>
        <w:tc>
          <w:tcPr>
            <w:tcW w:w="3847" w:type="dxa"/>
          </w:tcPr>
          <w:p w:rsidR="00D92132" w:rsidRPr="00A752E9" w:rsidRDefault="00D92132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Strict furnishing and social hosting laws</w:t>
            </w:r>
          </w:p>
          <w:p w:rsidR="00D92132" w:rsidRPr="00A752E9" w:rsidRDefault="00D92132" w:rsidP="00627B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Parental monitoring campaigns</w:t>
            </w:r>
          </w:p>
          <w:p w:rsidR="00D92132" w:rsidRPr="00A752E9" w:rsidRDefault="00D92132" w:rsidP="007E39C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92132" w:rsidRPr="00A752E9" w:rsidRDefault="00D92132" w:rsidP="00695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>No public health or communication funding included</w:t>
            </w:r>
          </w:p>
        </w:tc>
        <w:tc>
          <w:tcPr>
            <w:tcW w:w="4114" w:type="dxa"/>
          </w:tcPr>
          <w:p w:rsidR="00D92132" w:rsidRPr="00A752E9" w:rsidRDefault="00D92132" w:rsidP="00695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Adopt </w:t>
            </w:r>
            <w:r w:rsidR="00D11941">
              <w:rPr>
                <w:rFonts w:ascii="Times New Roman" w:hAnsi="Times New Roman" w:cs="Times New Roman"/>
                <w:sz w:val="24"/>
                <w:szCs w:val="24"/>
              </w:rPr>
              <w:t xml:space="preserve">and enforce </w:t>
            </w: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strict furnishing laws mirroring alcohol (furnishing </w:t>
            </w:r>
            <w:r w:rsidR="00A752E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 a place to consume)</w:t>
            </w:r>
          </w:p>
          <w:p w:rsidR="00D92132" w:rsidRPr="00A752E9" w:rsidRDefault="00A752E9" w:rsidP="00D1194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11941">
              <w:rPr>
                <w:rFonts w:ascii="Times New Roman" w:hAnsi="Times New Roman" w:cs="Times New Roman"/>
                <w:sz w:val="24"/>
                <w:szCs w:val="24"/>
              </w:rPr>
              <w:t xml:space="preserve">unding to law enforcement and education campaigns to </w:t>
            </w:r>
            <w:r w:rsidR="00D92132"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effective strategies:</w:t>
            </w:r>
            <w:r w:rsidR="00D92132" w:rsidRPr="00A752E9">
              <w:rPr>
                <w:rFonts w:ascii="Times New Roman" w:hAnsi="Times New Roman" w:cs="Times New Roman"/>
                <w:sz w:val="24"/>
                <w:szCs w:val="24"/>
              </w:rPr>
              <w:t xml:space="preserve"> “party patrols”, parental monitoring and furnishing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</w:t>
            </w:r>
            <w:r w:rsidR="00D92132" w:rsidRPr="00A752E9">
              <w:rPr>
                <w:rFonts w:ascii="Times New Roman" w:hAnsi="Times New Roman" w:cs="Times New Roman"/>
                <w:sz w:val="24"/>
                <w:szCs w:val="24"/>
              </w:rPr>
              <w:t>campaigns</w:t>
            </w:r>
          </w:p>
        </w:tc>
      </w:tr>
    </w:tbl>
    <w:p w:rsidR="00B41621" w:rsidRPr="00A752E9" w:rsidRDefault="00B41621" w:rsidP="00B41621">
      <w:pPr>
        <w:rPr>
          <w:rFonts w:ascii="Times New Roman" w:hAnsi="Times New Roman" w:cs="Times New Roman"/>
          <w:sz w:val="24"/>
          <w:szCs w:val="24"/>
        </w:rPr>
      </w:pPr>
      <w:r w:rsidRPr="00A752E9">
        <w:rPr>
          <w:rFonts w:ascii="Times New Roman" w:hAnsi="Times New Roman" w:cs="Times New Roman"/>
          <w:sz w:val="24"/>
          <w:szCs w:val="24"/>
        </w:rPr>
        <w:lastRenderedPageBreak/>
        <w:t>References:</w:t>
      </w:r>
      <w:r w:rsidRPr="00A752E9">
        <w:rPr>
          <w:rFonts w:ascii="Times New Roman" w:hAnsi="Times New Roman" w:cs="Times New Roman"/>
          <w:sz w:val="24"/>
          <w:szCs w:val="24"/>
        </w:rPr>
        <w:br/>
        <w:t>Rosalie Liccardo Pacula, Beau Kilmer, Alexander C. Wagenaar, Frank J. Chaloupka, </w:t>
      </w:r>
      <w:r w:rsidR="00A752E9">
        <w:rPr>
          <w:rFonts w:ascii="Times New Roman" w:hAnsi="Times New Roman" w:cs="Times New Roman"/>
          <w:sz w:val="24"/>
          <w:szCs w:val="24"/>
        </w:rPr>
        <w:t xml:space="preserve">Jonathan </w:t>
      </w:r>
      <w:r w:rsidRPr="00A752E9">
        <w:rPr>
          <w:rFonts w:ascii="Times New Roman" w:hAnsi="Times New Roman" w:cs="Times New Roman"/>
          <w:sz w:val="24"/>
          <w:szCs w:val="24"/>
        </w:rPr>
        <w:t>P. Caulkins, “Developing Public Health Regulations for Marijuana: Lessons From Alcohol and Tobacco”, </w:t>
      </w:r>
      <w:r w:rsidRPr="00A752E9">
        <w:rPr>
          <w:rStyle w:val="HTMLCite"/>
          <w:rFonts w:ascii="Times New Roman" w:hAnsi="Times New Roman" w:cs="Times New Roman"/>
          <w:sz w:val="24"/>
          <w:szCs w:val="24"/>
        </w:rPr>
        <w:t>American Journal of Public Health</w:t>
      </w:r>
      <w:r w:rsidRPr="00A752E9">
        <w:rPr>
          <w:rFonts w:ascii="Times New Roman" w:hAnsi="Times New Roman" w:cs="Times New Roman"/>
          <w:sz w:val="24"/>
          <w:szCs w:val="24"/>
        </w:rPr>
        <w:t> June, 2014): pp. 1021-1028.</w:t>
      </w:r>
    </w:p>
    <w:p w:rsidR="00B41621" w:rsidRDefault="00B41621" w:rsidP="00B41621">
      <w:pPr>
        <w:rPr>
          <w:rFonts w:ascii="Times New Roman" w:hAnsi="Times New Roman" w:cs="Times New Roman"/>
          <w:sz w:val="24"/>
          <w:szCs w:val="24"/>
        </w:rPr>
      </w:pPr>
      <w:r w:rsidRPr="00A752E9">
        <w:rPr>
          <w:rFonts w:ascii="Times New Roman" w:hAnsi="Times New Roman" w:cs="Times New Roman"/>
          <w:sz w:val="24"/>
          <w:szCs w:val="24"/>
        </w:rPr>
        <w:t>U.S. Department of Health and Human Services (HHS), Office of the Surgeon General, Facing Addiction in America: The Surgeon General’s Report on Alcohol, Drugs, and Health. Washington, DC: HHS, November 2016.</w:t>
      </w:r>
    </w:p>
    <w:p w:rsidR="00DE7F97" w:rsidRDefault="00DE7F97" w:rsidP="00B4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Recreational Marijuana in Maine: </w:t>
      </w:r>
      <w:hyperlink r:id="rId14" w:history="1">
        <w:r w:rsidRPr="00CD1536">
          <w:rPr>
            <w:rStyle w:val="Hyperlink"/>
            <w:rFonts w:ascii="Times New Roman" w:hAnsi="Times New Roman" w:cs="Times New Roman"/>
            <w:sz w:val="24"/>
            <w:szCs w:val="24"/>
          </w:rPr>
          <w:t>https://legislature.maine.gov/9419</w:t>
        </w:r>
      </w:hyperlink>
      <w:r>
        <w:rPr>
          <w:rFonts w:ascii="Times New Roman" w:hAnsi="Times New Roman" w:cs="Times New Roman"/>
          <w:sz w:val="24"/>
          <w:szCs w:val="24"/>
        </w:rPr>
        <w:t>: A summary of the statute language, legalization committee, federal legislation, and related news.</w:t>
      </w: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B572D" w:rsidRDefault="002B572D" w:rsidP="002B572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1962E6" w:rsidRDefault="002B572D" w:rsidP="008E0939">
      <w:pPr>
        <w:jc w:val="center"/>
      </w:pPr>
      <w:r>
        <w:rPr>
          <w:rFonts w:ascii="Times New Roman" w:hAnsi="Times New Roman" w:cs="Times New Roman"/>
          <w:i/>
          <w:sz w:val="28"/>
          <w:szCs w:val="24"/>
        </w:rPr>
        <w:t>A</w:t>
      </w:r>
      <w:r w:rsidRPr="002B572D">
        <w:rPr>
          <w:rFonts w:ascii="Times New Roman" w:hAnsi="Times New Roman" w:cs="Times New Roman"/>
          <w:i/>
          <w:sz w:val="28"/>
          <w:szCs w:val="24"/>
        </w:rPr>
        <w:t>ccess Health is a community health coalition serving Sagadahoc County, Brunswick</w:t>
      </w:r>
      <w:r>
        <w:rPr>
          <w:rFonts w:ascii="Times New Roman" w:hAnsi="Times New Roman" w:cs="Times New Roman"/>
          <w:i/>
          <w:sz w:val="28"/>
          <w:szCs w:val="24"/>
        </w:rPr>
        <w:t xml:space="preserve"> and Harpswell</w:t>
      </w:r>
      <w:r>
        <w:rPr>
          <w:rFonts w:ascii="Times New Roman" w:hAnsi="Times New Roman" w:cs="Times New Roman"/>
          <w:i/>
          <w:sz w:val="28"/>
          <w:szCs w:val="24"/>
        </w:rPr>
        <w:br/>
        <w:t>www.AccessHealthME.org</w:t>
      </w:r>
    </w:p>
    <w:sectPr w:rsidR="001962E6" w:rsidSect="00A752E9">
      <w:footerReference w:type="first" r:id="rId15"/>
      <w:pgSz w:w="15840" w:h="12240" w:orient="landscape"/>
      <w:pgMar w:top="288" w:right="576" w:bottom="288" w:left="576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5D" w:rsidRDefault="00B8625D" w:rsidP="00D462D2">
      <w:pPr>
        <w:spacing w:after="0" w:line="240" w:lineRule="auto"/>
      </w:pPr>
      <w:r>
        <w:separator/>
      </w:r>
    </w:p>
  </w:endnote>
  <w:endnote w:type="continuationSeparator" w:id="0">
    <w:p w:rsidR="00B8625D" w:rsidRDefault="00B8625D" w:rsidP="00D4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07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5CF" w:rsidRPr="00CC35CF" w:rsidRDefault="00CC35CF" w:rsidP="00CC35CF">
        <w:pPr>
          <w:rPr>
            <w:rFonts w:ascii="Times New Roman" w:hAnsi="Times New Roman" w:cs="Times New Roman"/>
            <w:sz w:val="24"/>
            <w:szCs w:val="24"/>
          </w:rPr>
        </w:pPr>
      </w:p>
      <w:p w:rsidR="009A4C0A" w:rsidRDefault="009A4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C0A" w:rsidRDefault="009A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9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C0A" w:rsidRDefault="009A4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AB7" w:rsidRDefault="00CE6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035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C0A" w:rsidRDefault="009A4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4C0A" w:rsidRDefault="009A4C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038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E4B" w:rsidRDefault="00E05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E4B" w:rsidRDefault="00E05E4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01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C0A" w:rsidRDefault="009A4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2E9" w:rsidRDefault="00A75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5D" w:rsidRDefault="00B8625D" w:rsidP="00D462D2">
      <w:pPr>
        <w:spacing w:after="0" w:line="240" w:lineRule="auto"/>
      </w:pPr>
      <w:r>
        <w:separator/>
      </w:r>
    </w:p>
  </w:footnote>
  <w:footnote w:type="continuationSeparator" w:id="0">
    <w:p w:rsidR="00B8625D" w:rsidRDefault="00B8625D" w:rsidP="00D4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E3B"/>
    <w:multiLevelType w:val="hybridMultilevel"/>
    <w:tmpl w:val="89CE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4268"/>
    <w:multiLevelType w:val="hybridMultilevel"/>
    <w:tmpl w:val="8806E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81443"/>
    <w:multiLevelType w:val="hybridMultilevel"/>
    <w:tmpl w:val="28220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2EBB"/>
    <w:multiLevelType w:val="hybridMultilevel"/>
    <w:tmpl w:val="DF8C7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D071C"/>
    <w:multiLevelType w:val="hybridMultilevel"/>
    <w:tmpl w:val="AAE8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574B9"/>
    <w:multiLevelType w:val="hybridMultilevel"/>
    <w:tmpl w:val="7CF2D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A1536"/>
    <w:multiLevelType w:val="hybridMultilevel"/>
    <w:tmpl w:val="FFE21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C9E7FEC"/>
    <w:multiLevelType w:val="hybridMultilevel"/>
    <w:tmpl w:val="99E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435A3"/>
    <w:multiLevelType w:val="hybridMultilevel"/>
    <w:tmpl w:val="B9C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60125"/>
    <w:multiLevelType w:val="hybridMultilevel"/>
    <w:tmpl w:val="4A7E4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EE0E42"/>
    <w:multiLevelType w:val="hybridMultilevel"/>
    <w:tmpl w:val="4196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928ED"/>
    <w:multiLevelType w:val="hybridMultilevel"/>
    <w:tmpl w:val="A03E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73561"/>
    <w:multiLevelType w:val="hybridMultilevel"/>
    <w:tmpl w:val="17D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134E3"/>
    <w:multiLevelType w:val="hybridMultilevel"/>
    <w:tmpl w:val="4DC4C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E50072"/>
    <w:multiLevelType w:val="hybridMultilevel"/>
    <w:tmpl w:val="F5845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D7DD0"/>
    <w:multiLevelType w:val="hybridMultilevel"/>
    <w:tmpl w:val="DFDC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8739D"/>
    <w:multiLevelType w:val="hybridMultilevel"/>
    <w:tmpl w:val="618C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0C8B"/>
    <w:multiLevelType w:val="hybridMultilevel"/>
    <w:tmpl w:val="DD6E5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A10C05"/>
    <w:multiLevelType w:val="hybridMultilevel"/>
    <w:tmpl w:val="9D52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81876"/>
    <w:multiLevelType w:val="multilevel"/>
    <w:tmpl w:val="DC6E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9"/>
  </w:num>
  <w:num w:numId="15">
    <w:abstractNumId w:val="18"/>
  </w:num>
  <w:num w:numId="16">
    <w:abstractNumId w:val="10"/>
  </w:num>
  <w:num w:numId="17">
    <w:abstractNumId w:val="17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C"/>
    <w:rsid w:val="000003AB"/>
    <w:rsid w:val="00004FC7"/>
    <w:rsid w:val="0001338E"/>
    <w:rsid w:val="001248EA"/>
    <w:rsid w:val="00125C7B"/>
    <w:rsid w:val="001424F5"/>
    <w:rsid w:val="001539E7"/>
    <w:rsid w:val="001962E6"/>
    <w:rsid w:val="001973F2"/>
    <w:rsid w:val="001E3DDF"/>
    <w:rsid w:val="001F3958"/>
    <w:rsid w:val="00232CB2"/>
    <w:rsid w:val="00266D49"/>
    <w:rsid w:val="0027411D"/>
    <w:rsid w:val="002B572D"/>
    <w:rsid w:val="002E400C"/>
    <w:rsid w:val="00457AAC"/>
    <w:rsid w:val="00460474"/>
    <w:rsid w:val="00485BE0"/>
    <w:rsid w:val="004A6B3B"/>
    <w:rsid w:val="004B5F2A"/>
    <w:rsid w:val="00500198"/>
    <w:rsid w:val="0055712E"/>
    <w:rsid w:val="00594436"/>
    <w:rsid w:val="005D7A60"/>
    <w:rsid w:val="005F2D4D"/>
    <w:rsid w:val="00604ED6"/>
    <w:rsid w:val="00627BC5"/>
    <w:rsid w:val="00695A69"/>
    <w:rsid w:val="006A0370"/>
    <w:rsid w:val="006C21FF"/>
    <w:rsid w:val="006F2A4F"/>
    <w:rsid w:val="00702446"/>
    <w:rsid w:val="00705B75"/>
    <w:rsid w:val="00721926"/>
    <w:rsid w:val="00730854"/>
    <w:rsid w:val="00733BC0"/>
    <w:rsid w:val="00750BC6"/>
    <w:rsid w:val="00763E26"/>
    <w:rsid w:val="00782C2A"/>
    <w:rsid w:val="007B7BD3"/>
    <w:rsid w:val="007B7F53"/>
    <w:rsid w:val="007E1C58"/>
    <w:rsid w:val="007E39C1"/>
    <w:rsid w:val="007E6324"/>
    <w:rsid w:val="008065A3"/>
    <w:rsid w:val="00817E8B"/>
    <w:rsid w:val="0084774D"/>
    <w:rsid w:val="008636EC"/>
    <w:rsid w:val="00870135"/>
    <w:rsid w:val="008B2E26"/>
    <w:rsid w:val="008B4CD7"/>
    <w:rsid w:val="008C5343"/>
    <w:rsid w:val="008E0939"/>
    <w:rsid w:val="00921D57"/>
    <w:rsid w:val="0092475C"/>
    <w:rsid w:val="0093006F"/>
    <w:rsid w:val="00946439"/>
    <w:rsid w:val="00947173"/>
    <w:rsid w:val="009479CB"/>
    <w:rsid w:val="0097695D"/>
    <w:rsid w:val="009837AA"/>
    <w:rsid w:val="0099597B"/>
    <w:rsid w:val="009A4C0A"/>
    <w:rsid w:val="009B112F"/>
    <w:rsid w:val="009B6294"/>
    <w:rsid w:val="009C3662"/>
    <w:rsid w:val="009E5B38"/>
    <w:rsid w:val="009F3C5C"/>
    <w:rsid w:val="00A13104"/>
    <w:rsid w:val="00A24C6F"/>
    <w:rsid w:val="00A45B4D"/>
    <w:rsid w:val="00A47CF2"/>
    <w:rsid w:val="00A752E9"/>
    <w:rsid w:val="00A7551D"/>
    <w:rsid w:val="00AB73A4"/>
    <w:rsid w:val="00AB7C1F"/>
    <w:rsid w:val="00AC1D4B"/>
    <w:rsid w:val="00AE7072"/>
    <w:rsid w:val="00B263FF"/>
    <w:rsid w:val="00B41621"/>
    <w:rsid w:val="00B76C5E"/>
    <w:rsid w:val="00B7786E"/>
    <w:rsid w:val="00B8625D"/>
    <w:rsid w:val="00B903EB"/>
    <w:rsid w:val="00BE3AB4"/>
    <w:rsid w:val="00BE6715"/>
    <w:rsid w:val="00BF4C08"/>
    <w:rsid w:val="00C01BF5"/>
    <w:rsid w:val="00C35F3E"/>
    <w:rsid w:val="00C55D64"/>
    <w:rsid w:val="00C7414C"/>
    <w:rsid w:val="00CA0647"/>
    <w:rsid w:val="00CA6ECA"/>
    <w:rsid w:val="00CC35CF"/>
    <w:rsid w:val="00CE6AB7"/>
    <w:rsid w:val="00D11941"/>
    <w:rsid w:val="00D16A5A"/>
    <w:rsid w:val="00D25366"/>
    <w:rsid w:val="00D462D2"/>
    <w:rsid w:val="00D527BF"/>
    <w:rsid w:val="00D53AD6"/>
    <w:rsid w:val="00D544AA"/>
    <w:rsid w:val="00D92132"/>
    <w:rsid w:val="00DE7F97"/>
    <w:rsid w:val="00DF748C"/>
    <w:rsid w:val="00E05E4B"/>
    <w:rsid w:val="00E13479"/>
    <w:rsid w:val="00E77766"/>
    <w:rsid w:val="00E81A9C"/>
    <w:rsid w:val="00F07DDB"/>
    <w:rsid w:val="00F41304"/>
    <w:rsid w:val="00F85EFF"/>
    <w:rsid w:val="00F90211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0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7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4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D2"/>
  </w:style>
  <w:style w:type="paragraph" w:styleId="Footer">
    <w:name w:val="footer"/>
    <w:basedOn w:val="Normal"/>
    <w:link w:val="FooterChar"/>
    <w:uiPriority w:val="99"/>
    <w:unhideWhenUsed/>
    <w:rsid w:val="00D4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D2"/>
  </w:style>
  <w:style w:type="paragraph" w:styleId="BalloonText">
    <w:name w:val="Balloon Text"/>
    <w:basedOn w:val="Normal"/>
    <w:link w:val="BalloonTextChar"/>
    <w:uiPriority w:val="99"/>
    <w:semiHidden/>
    <w:unhideWhenUsed/>
    <w:rsid w:val="009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CD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7BD3"/>
    <w:rPr>
      <w:i/>
      <w:iCs/>
    </w:rPr>
  </w:style>
  <w:style w:type="paragraph" w:customStyle="1" w:styleId="DefaultText">
    <w:name w:val="Default Text"/>
    <w:basedOn w:val="Normal"/>
    <w:rsid w:val="00CE6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CE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0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7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4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D2"/>
  </w:style>
  <w:style w:type="paragraph" w:styleId="Footer">
    <w:name w:val="footer"/>
    <w:basedOn w:val="Normal"/>
    <w:link w:val="FooterChar"/>
    <w:uiPriority w:val="99"/>
    <w:unhideWhenUsed/>
    <w:rsid w:val="00D4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D2"/>
  </w:style>
  <w:style w:type="paragraph" w:styleId="BalloonText">
    <w:name w:val="Balloon Text"/>
    <w:basedOn w:val="Normal"/>
    <w:link w:val="BalloonTextChar"/>
    <w:uiPriority w:val="99"/>
    <w:semiHidden/>
    <w:unhideWhenUsed/>
    <w:rsid w:val="009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CD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7BD3"/>
    <w:rPr>
      <w:i/>
      <w:iCs/>
    </w:rPr>
  </w:style>
  <w:style w:type="paragraph" w:customStyle="1" w:styleId="DefaultText">
    <w:name w:val="Default Text"/>
    <w:basedOn w:val="Normal"/>
    <w:rsid w:val="00CE6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CE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legislature.maine.gov/9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2479-DF9A-42FB-9A89-1735E84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Fochesato, Melissa</dc:creator>
  <cp:lastModifiedBy>Kellerman, Jennifer</cp:lastModifiedBy>
  <cp:revision>2</cp:revision>
  <cp:lastPrinted>2017-08-09T17:33:00Z</cp:lastPrinted>
  <dcterms:created xsi:type="dcterms:W3CDTF">2017-12-18T15:55:00Z</dcterms:created>
  <dcterms:modified xsi:type="dcterms:W3CDTF">2017-12-18T15:55:00Z</dcterms:modified>
</cp:coreProperties>
</file>